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6A88F" w14:textId="77777777" w:rsidR="009A3FF3" w:rsidRDefault="009A3FF3" w:rsidP="00764B72"/>
    <w:p w14:paraId="662D631E" w14:textId="77777777" w:rsidR="000055CC" w:rsidRDefault="00F35A44" w:rsidP="00764B72">
      <w:r>
        <w:rPr>
          <w:b/>
          <w:noProof/>
          <w:sz w:val="28"/>
          <w:szCs w:val="28"/>
          <w:lang w:eastAsia="en-GB"/>
        </w:rPr>
        <w:drawing>
          <wp:anchor distT="0" distB="0" distL="114300" distR="114300" simplePos="0" relativeHeight="251656704" behindDoc="0" locked="0" layoutInCell="1" allowOverlap="1" wp14:anchorId="11E90203" wp14:editId="32FEF6F8">
            <wp:simplePos x="0" y="0"/>
            <wp:positionH relativeFrom="column">
              <wp:posOffset>3456749</wp:posOffset>
            </wp:positionH>
            <wp:positionV relativeFrom="margin">
              <wp:align>top</wp:align>
            </wp:positionV>
            <wp:extent cx="2438400" cy="13411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NA_DSB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1341120"/>
                    </a:xfrm>
                    <a:prstGeom prst="rect">
                      <a:avLst/>
                    </a:prstGeom>
                  </pic:spPr>
                </pic:pic>
              </a:graphicData>
            </a:graphic>
          </wp:anchor>
        </w:drawing>
      </w:r>
    </w:p>
    <w:p w14:paraId="764068B0" w14:textId="77777777" w:rsidR="00F35A44" w:rsidRDefault="00F35A44" w:rsidP="00764B72"/>
    <w:p w14:paraId="1FFD0C45" w14:textId="77777777" w:rsidR="00F35A44" w:rsidRPr="000B7CB3" w:rsidRDefault="00F35A44" w:rsidP="00F35A44">
      <w:pPr>
        <w:jc w:val="center"/>
        <w:rPr>
          <w:b/>
          <w:sz w:val="40"/>
        </w:rPr>
      </w:pPr>
      <w:r w:rsidRPr="000B7CB3">
        <w:rPr>
          <w:b/>
          <w:sz w:val="40"/>
        </w:rPr>
        <w:t>D</w:t>
      </w:r>
      <w:r w:rsidR="002E5CA7">
        <w:rPr>
          <w:b/>
          <w:sz w:val="40"/>
        </w:rPr>
        <w:t xml:space="preserve">erivatives </w:t>
      </w:r>
      <w:r w:rsidRPr="000B7CB3">
        <w:rPr>
          <w:b/>
          <w:sz w:val="40"/>
        </w:rPr>
        <w:t>S</w:t>
      </w:r>
      <w:r w:rsidR="002E5CA7">
        <w:rPr>
          <w:b/>
          <w:sz w:val="40"/>
        </w:rPr>
        <w:t xml:space="preserve">ervice </w:t>
      </w:r>
      <w:r w:rsidRPr="000B7CB3">
        <w:rPr>
          <w:b/>
          <w:sz w:val="40"/>
        </w:rPr>
        <w:t>B</w:t>
      </w:r>
      <w:r w:rsidR="002E5CA7">
        <w:rPr>
          <w:b/>
          <w:sz w:val="40"/>
        </w:rPr>
        <w:t>ureau</w:t>
      </w:r>
    </w:p>
    <w:p w14:paraId="49CC6EEF" w14:textId="77777777" w:rsidR="002E5CA7" w:rsidRDefault="00A95286" w:rsidP="00F35A44">
      <w:pPr>
        <w:jc w:val="center"/>
        <w:rPr>
          <w:sz w:val="36"/>
        </w:rPr>
      </w:pPr>
      <w:r>
        <w:rPr>
          <w:sz w:val="36"/>
        </w:rPr>
        <w:t xml:space="preserve">Proposed </w:t>
      </w:r>
      <w:r w:rsidR="009C3487">
        <w:rPr>
          <w:sz w:val="36"/>
        </w:rPr>
        <w:t xml:space="preserve">Amendments to the </w:t>
      </w:r>
      <w:r>
        <w:rPr>
          <w:sz w:val="36"/>
        </w:rPr>
        <w:t xml:space="preserve">2019 </w:t>
      </w:r>
      <w:r w:rsidR="002E5CA7">
        <w:rPr>
          <w:sz w:val="36"/>
        </w:rPr>
        <w:t>Fee Model</w:t>
      </w:r>
      <w:r>
        <w:rPr>
          <w:sz w:val="36"/>
        </w:rPr>
        <w:t>, User Categories, Functionality, Service Level</w:t>
      </w:r>
      <w:r w:rsidR="009C3487">
        <w:rPr>
          <w:sz w:val="36"/>
        </w:rPr>
        <w:t xml:space="preserve">, </w:t>
      </w:r>
      <w:r>
        <w:rPr>
          <w:sz w:val="36"/>
        </w:rPr>
        <w:t xml:space="preserve">Service Availability </w:t>
      </w:r>
      <w:r w:rsidR="009C3487">
        <w:rPr>
          <w:sz w:val="36"/>
        </w:rPr>
        <w:t>&amp; User Agreement</w:t>
      </w:r>
    </w:p>
    <w:p w14:paraId="42C8A5AF" w14:textId="77777777" w:rsidR="00F35A44" w:rsidRPr="002E5CA7" w:rsidRDefault="00556B7D" w:rsidP="00F35A44">
      <w:pPr>
        <w:jc w:val="center"/>
        <w:rPr>
          <w:b/>
          <w:sz w:val="40"/>
        </w:rPr>
      </w:pPr>
      <w:r w:rsidRPr="002E5CA7">
        <w:rPr>
          <w:b/>
          <w:sz w:val="40"/>
        </w:rPr>
        <w:t>Consultation Paper</w:t>
      </w:r>
      <w:r w:rsidR="002E5CA7" w:rsidRPr="002E5CA7">
        <w:rPr>
          <w:b/>
          <w:sz w:val="40"/>
        </w:rPr>
        <w:t xml:space="preserve"> 2</w:t>
      </w:r>
    </w:p>
    <w:p w14:paraId="268902C4" w14:textId="77777777" w:rsidR="00F35A44" w:rsidRPr="00BF4618" w:rsidRDefault="00B162EA" w:rsidP="00F35A44">
      <w:pPr>
        <w:jc w:val="center"/>
        <w:rPr>
          <w:sz w:val="28"/>
        </w:rPr>
      </w:pPr>
      <w:r>
        <w:rPr>
          <w:sz w:val="28"/>
        </w:rPr>
        <w:t>28 June</w:t>
      </w:r>
      <w:r w:rsidR="00556B7D">
        <w:rPr>
          <w:sz w:val="28"/>
        </w:rPr>
        <w:t xml:space="preserve"> 201</w:t>
      </w:r>
      <w:r w:rsidR="00A95286">
        <w:rPr>
          <w:sz w:val="28"/>
        </w:rPr>
        <w:t>8</w:t>
      </w:r>
    </w:p>
    <w:p w14:paraId="713BEB06" w14:textId="77777777" w:rsidR="000055CC" w:rsidRDefault="000055CC">
      <w:r>
        <w:br w:type="page"/>
      </w:r>
    </w:p>
    <w:p w14:paraId="22B42C82" w14:textId="77777777" w:rsidR="000055CC" w:rsidRDefault="000E5B24" w:rsidP="00764B72">
      <w:r>
        <w:lastRenderedPageBreak/>
        <w:t xml:space="preserve">  </w:t>
      </w:r>
    </w:p>
    <w:bookmarkStart w:id="0" w:name="_Ref484100588" w:displacedByCustomXml="next"/>
    <w:bookmarkStart w:id="1" w:name="_Toc469647133" w:displacedByCustomXml="next"/>
    <w:bookmarkStart w:id="2" w:name="_Toc469647132" w:displacedByCustomXml="next"/>
    <w:sdt>
      <w:sdtPr>
        <w:rPr>
          <w:rFonts w:asciiTheme="minorHAnsi" w:eastAsiaTheme="minorHAnsi" w:hAnsiTheme="minorHAnsi" w:cstheme="minorBidi"/>
          <w:color w:val="auto"/>
          <w:sz w:val="22"/>
          <w:szCs w:val="22"/>
          <w:lang w:val="en-GB"/>
        </w:rPr>
        <w:id w:val="-674573604"/>
        <w:docPartObj>
          <w:docPartGallery w:val="Table of Contents"/>
          <w:docPartUnique/>
        </w:docPartObj>
      </w:sdtPr>
      <w:sdtEndPr>
        <w:rPr>
          <w:b/>
          <w:bCs/>
          <w:noProof/>
        </w:rPr>
      </w:sdtEndPr>
      <w:sdtContent>
        <w:p w14:paraId="751C3D48" w14:textId="77777777" w:rsidR="00805441" w:rsidRDefault="00805441">
          <w:pPr>
            <w:pStyle w:val="TOCHeading"/>
          </w:pPr>
          <w:r>
            <w:t>Contents</w:t>
          </w:r>
        </w:p>
        <w:p w14:paraId="2FC39A68" w14:textId="37FB503A" w:rsidR="004B1989" w:rsidRDefault="00805441">
          <w:pPr>
            <w:pStyle w:val="TOC1"/>
            <w:rPr>
              <w:rFonts w:eastAsiaTheme="minorEastAsia"/>
              <w:noProof/>
              <w:lang w:val="en-US"/>
            </w:rPr>
          </w:pPr>
          <w:r>
            <w:rPr>
              <w:b/>
              <w:bCs/>
              <w:noProof/>
            </w:rPr>
            <w:fldChar w:fldCharType="begin"/>
          </w:r>
          <w:r>
            <w:rPr>
              <w:b/>
              <w:bCs/>
              <w:noProof/>
            </w:rPr>
            <w:instrText xml:space="preserve"> TOC \o "1-3" \h \z \u </w:instrText>
          </w:r>
          <w:r>
            <w:rPr>
              <w:b/>
              <w:bCs/>
              <w:noProof/>
            </w:rPr>
            <w:fldChar w:fldCharType="separate"/>
          </w:r>
          <w:hyperlink w:anchor="_Toc517969362" w:history="1">
            <w:r w:rsidR="004B1989" w:rsidRPr="000C5E36">
              <w:rPr>
                <w:rStyle w:val="Hyperlink"/>
                <w:noProof/>
              </w:rPr>
              <w:t>1</w:t>
            </w:r>
            <w:r w:rsidR="004B1989">
              <w:rPr>
                <w:rFonts w:eastAsiaTheme="minorEastAsia"/>
                <w:noProof/>
                <w:lang w:val="en-US"/>
              </w:rPr>
              <w:tab/>
            </w:r>
            <w:r w:rsidR="004B1989" w:rsidRPr="000C5E36">
              <w:rPr>
                <w:rStyle w:val="Hyperlink"/>
                <w:noProof/>
              </w:rPr>
              <w:t>Introduction</w:t>
            </w:r>
            <w:r w:rsidR="004B1989">
              <w:rPr>
                <w:noProof/>
                <w:webHidden/>
              </w:rPr>
              <w:tab/>
            </w:r>
            <w:r w:rsidR="004B1989">
              <w:rPr>
                <w:noProof/>
                <w:webHidden/>
              </w:rPr>
              <w:fldChar w:fldCharType="begin"/>
            </w:r>
            <w:r w:rsidR="004B1989">
              <w:rPr>
                <w:noProof/>
                <w:webHidden/>
              </w:rPr>
              <w:instrText xml:space="preserve"> PAGEREF _Toc517969362 \h </w:instrText>
            </w:r>
            <w:r w:rsidR="004B1989">
              <w:rPr>
                <w:noProof/>
                <w:webHidden/>
              </w:rPr>
            </w:r>
            <w:r w:rsidR="004B1989">
              <w:rPr>
                <w:noProof/>
                <w:webHidden/>
              </w:rPr>
              <w:fldChar w:fldCharType="separate"/>
            </w:r>
            <w:r w:rsidR="00710053">
              <w:rPr>
                <w:noProof/>
                <w:webHidden/>
              </w:rPr>
              <w:t>3</w:t>
            </w:r>
            <w:r w:rsidR="004B1989">
              <w:rPr>
                <w:noProof/>
                <w:webHidden/>
              </w:rPr>
              <w:fldChar w:fldCharType="end"/>
            </w:r>
          </w:hyperlink>
        </w:p>
        <w:p w14:paraId="7E074CC9" w14:textId="23F269DC" w:rsidR="004B1989" w:rsidRDefault="00572120">
          <w:pPr>
            <w:pStyle w:val="TOC1"/>
            <w:rPr>
              <w:rFonts w:eastAsiaTheme="minorEastAsia"/>
              <w:noProof/>
              <w:lang w:val="en-US"/>
            </w:rPr>
          </w:pPr>
          <w:hyperlink w:anchor="_Toc517969363" w:history="1">
            <w:r w:rsidR="004B1989" w:rsidRPr="000C5E36">
              <w:rPr>
                <w:rStyle w:val="Hyperlink"/>
                <w:noProof/>
              </w:rPr>
              <w:t>2</w:t>
            </w:r>
            <w:r w:rsidR="004B1989">
              <w:rPr>
                <w:rFonts w:eastAsiaTheme="minorEastAsia"/>
                <w:noProof/>
                <w:lang w:val="en-US"/>
              </w:rPr>
              <w:tab/>
            </w:r>
            <w:r w:rsidR="004B1989" w:rsidRPr="000C5E36">
              <w:rPr>
                <w:rStyle w:val="Hyperlink"/>
                <w:noProof/>
              </w:rPr>
              <w:t>Executive Summary</w:t>
            </w:r>
            <w:r w:rsidR="004B1989">
              <w:rPr>
                <w:noProof/>
                <w:webHidden/>
              </w:rPr>
              <w:tab/>
            </w:r>
            <w:r w:rsidR="004B1989">
              <w:rPr>
                <w:noProof/>
                <w:webHidden/>
              </w:rPr>
              <w:fldChar w:fldCharType="begin"/>
            </w:r>
            <w:r w:rsidR="004B1989">
              <w:rPr>
                <w:noProof/>
                <w:webHidden/>
              </w:rPr>
              <w:instrText xml:space="preserve"> PAGEREF _Toc517969363 \h </w:instrText>
            </w:r>
            <w:r w:rsidR="004B1989">
              <w:rPr>
                <w:noProof/>
                <w:webHidden/>
              </w:rPr>
            </w:r>
            <w:r w:rsidR="004B1989">
              <w:rPr>
                <w:noProof/>
                <w:webHidden/>
              </w:rPr>
              <w:fldChar w:fldCharType="separate"/>
            </w:r>
            <w:r w:rsidR="00710053">
              <w:rPr>
                <w:noProof/>
                <w:webHidden/>
              </w:rPr>
              <w:t>4</w:t>
            </w:r>
            <w:r w:rsidR="004B1989">
              <w:rPr>
                <w:noProof/>
                <w:webHidden/>
              </w:rPr>
              <w:fldChar w:fldCharType="end"/>
            </w:r>
          </w:hyperlink>
        </w:p>
        <w:p w14:paraId="7919C662" w14:textId="4AC920E6" w:rsidR="004B1989" w:rsidRDefault="00572120">
          <w:pPr>
            <w:pStyle w:val="TOC2"/>
            <w:rPr>
              <w:rFonts w:eastAsiaTheme="minorEastAsia"/>
              <w:noProof/>
              <w:lang w:val="en-US"/>
            </w:rPr>
          </w:pPr>
          <w:hyperlink w:anchor="_Toc517969364" w:history="1">
            <w:r w:rsidR="004B1989" w:rsidRPr="000C5E36">
              <w:rPr>
                <w:rStyle w:val="Hyperlink"/>
                <w:noProof/>
              </w:rPr>
              <w:t>2.1</w:t>
            </w:r>
            <w:r w:rsidR="004B1989">
              <w:rPr>
                <w:rFonts w:eastAsiaTheme="minorEastAsia"/>
                <w:noProof/>
                <w:lang w:val="en-US"/>
              </w:rPr>
              <w:tab/>
            </w:r>
            <w:r w:rsidR="004B1989" w:rsidRPr="000C5E36">
              <w:rPr>
                <w:rStyle w:val="Hyperlink"/>
                <w:noProof/>
              </w:rPr>
              <w:t>Principles</w:t>
            </w:r>
            <w:r w:rsidR="004B1989">
              <w:rPr>
                <w:noProof/>
                <w:webHidden/>
              </w:rPr>
              <w:tab/>
            </w:r>
            <w:r w:rsidR="004B1989">
              <w:rPr>
                <w:noProof/>
                <w:webHidden/>
              </w:rPr>
              <w:fldChar w:fldCharType="begin"/>
            </w:r>
            <w:r w:rsidR="004B1989">
              <w:rPr>
                <w:noProof/>
                <w:webHidden/>
              </w:rPr>
              <w:instrText xml:space="preserve"> PAGEREF _Toc517969364 \h </w:instrText>
            </w:r>
            <w:r w:rsidR="004B1989">
              <w:rPr>
                <w:noProof/>
                <w:webHidden/>
              </w:rPr>
            </w:r>
            <w:r w:rsidR="004B1989">
              <w:rPr>
                <w:noProof/>
                <w:webHidden/>
              </w:rPr>
              <w:fldChar w:fldCharType="separate"/>
            </w:r>
            <w:r w:rsidR="00710053">
              <w:rPr>
                <w:noProof/>
                <w:webHidden/>
              </w:rPr>
              <w:t>6</w:t>
            </w:r>
            <w:r w:rsidR="004B1989">
              <w:rPr>
                <w:noProof/>
                <w:webHidden/>
              </w:rPr>
              <w:fldChar w:fldCharType="end"/>
            </w:r>
          </w:hyperlink>
        </w:p>
        <w:p w14:paraId="6CDC981B" w14:textId="14D9CD01" w:rsidR="004B1989" w:rsidRDefault="00572120">
          <w:pPr>
            <w:pStyle w:val="TOC2"/>
            <w:rPr>
              <w:rFonts w:eastAsiaTheme="minorEastAsia"/>
              <w:noProof/>
              <w:lang w:val="en-US"/>
            </w:rPr>
          </w:pPr>
          <w:hyperlink w:anchor="_Toc517969365" w:history="1">
            <w:r w:rsidR="004B1989" w:rsidRPr="000C5E36">
              <w:rPr>
                <w:rStyle w:val="Hyperlink"/>
                <w:noProof/>
              </w:rPr>
              <w:t>2.2</w:t>
            </w:r>
            <w:r w:rsidR="004B1989">
              <w:rPr>
                <w:rFonts w:eastAsiaTheme="minorEastAsia"/>
                <w:noProof/>
                <w:lang w:val="en-US"/>
              </w:rPr>
              <w:tab/>
            </w:r>
            <w:r w:rsidR="004B1989" w:rsidRPr="000C5E36">
              <w:rPr>
                <w:rStyle w:val="Hyperlink"/>
                <w:noProof/>
              </w:rPr>
              <w:t>Response Highlights</w:t>
            </w:r>
            <w:r w:rsidR="004B1989">
              <w:rPr>
                <w:noProof/>
                <w:webHidden/>
              </w:rPr>
              <w:tab/>
            </w:r>
            <w:r w:rsidR="004B1989">
              <w:rPr>
                <w:noProof/>
                <w:webHidden/>
              </w:rPr>
              <w:fldChar w:fldCharType="begin"/>
            </w:r>
            <w:r w:rsidR="004B1989">
              <w:rPr>
                <w:noProof/>
                <w:webHidden/>
              </w:rPr>
              <w:instrText xml:space="preserve"> PAGEREF _Toc517969365 \h </w:instrText>
            </w:r>
            <w:r w:rsidR="004B1989">
              <w:rPr>
                <w:noProof/>
                <w:webHidden/>
              </w:rPr>
            </w:r>
            <w:r w:rsidR="004B1989">
              <w:rPr>
                <w:noProof/>
                <w:webHidden/>
              </w:rPr>
              <w:fldChar w:fldCharType="separate"/>
            </w:r>
            <w:r w:rsidR="00710053">
              <w:rPr>
                <w:noProof/>
                <w:webHidden/>
              </w:rPr>
              <w:t>7</w:t>
            </w:r>
            <w:r w:rsidR="004B1989">
              <w:rPr>
                <w:noProof/>
                <w:webHidden/>
              </w:rPr>
              <w:fldChar w:fldCharType="end"/>
            </w:r>
          </w:hyperlink>
        </w:p>
        <w:p w14:paraId="65C44369" w14:textId="792EA852" w:rsidR="004B1989" w:rsidRDefault="00572120">
          <w:pPr>
            <w:pStyle w:val="TOC3"/>
            <w:rPr>
              <w:rFonts w:eastAsiaTheme="minorEastAsia"/>
              <w:noProof/>
              <w:lang w:val="en-US"/>
            </w:rPr>
          </w:pPr>
          <w:hyperlink w:anchor="_Toc517969366" w:history="1">
            <w:r w:rsidR="004B1989" w:rsidRPr="000C5E36">
              <w:rPr>
                <w:rStyle w:val="Hyperlink"/>
                <w:noProof/>
              </w:rPr>
              <w:t>2.2.1</w:t>
            </w:r>
            <w:r w:rsidR="004B1989">
              <w:rPr>
                <w:rFonts w:eastAsiaTheme="minorEastAsia"/>
                <w:noProof/>
                <w:lang w:val="en-US"/>
              </w:rPr>
              <w:tab/>
            </w:r>
            <w:r w:rsidR="004B1989" w:rsidRPr="000C5E36">
              <w:rPr>
                <w:rStyle w:val="Hyperlink"/>
                <w:noProof/>
              </w:rPr>
              <w:t>User Categorization and Fees:</w:t>
            </w:r>
            <w:r w:rsidR="004B1989">
              <w:rPr>
                <w:noProof/>
                <w:webHidden/>
              </w:rPr>
              <w:tab/>
            </w:r>
            <w:r w:rsidR="004B1989">
              <w:rPr>
                <w:noProof/>
                <w:webHidden/>
              </w:rPr>
              <w:fldChar w:fldCharType="begin"/>
            </w:r>
            <w:r w:rsidR="004B1989">
              <w:rPr>
                <w:noProof/>
                <w:webHidden/>
              </w:rPr>
              <w:instrText xml:space="preserve"> PAGEREF _Toc517969366 \h </w:instrText>
            </w:r>
            <w:r w:rsidR="004B1989">
              <w:rPr>
                <w:noProof/>
                <w:webHidden/>
              </w:rPr>
            </w:r>
            <w:r w:rsidR="004B1989">
              <w:rPr>
                <w:noProof/>
                <w:webHidden/>
              </w:rPr>
              <w:fldChar w:fldCharType="separate"/>
            </w:r>
            <w:r w:rsidR="00710053">
              <w:rPr>
                <w:noProof/>
                <w:webHidden/>
              </w:rPr>
              <w:t>7</w:t>
            </w:r>
            <w:r w:rsidR="004B1989">
              <w:rPr>
                <w:noProof/>
                <w:webHidden/>
              </w:rPr>
              <w:fldChar w:fldCharType="end"/>
            </w:r>
          </w:hyperlink>
        </w:p>
        <w:p w14:paraId="355AF9DF" w14:textId="23472CEF" w:rsidR="004B1989" w:rsidRDefault="00572120">
          <w:pPr>
            <w:pStyle w:val="TOC3"/>
            <w:rPr>
              <w:rFonts w:eastAsiaTheme="minorEastAsia"/>
              <w:noProof/>
              <w:lang w:val="en-US"/>
            </w:rPr>
          </w:pPr>
          <w:hyperlink w:anchor="_Toc517969367" w:history="1">
            <w:r w:rsidR="004B1989" w:rsidRPr="000C5E36">
              <w:rPr>
                <w:rStyle w:val="Hyperlink"/>
                <w:noProof/>
              </w:rPr>
              <w:t>2.2.2</w:t>
            </w:r>
            <w:r w:rsidR="004B1989">
              <w:rPr>
                <w:rFonts w:eastAsiaTheme="minorEastAsia"/>
                <w:noProof/>
                <w:lang w:val="en-US"/>
              </w:rPr>
              <w:tab/>
            </w:r>
            <w:r w:rsidR="004B1989" w:rsidRPr="000C5E36">
              <w:rPr>
                <w:rStyle w:val="Hyperlink"/>
                <w:noProof/>
              </w:rPr>
              <w:t>Functionality:</w:t>
            </w:r>
            <w:r w:rsidR="004B1989">
              <w:rPr>
                <w:noProof/>
                <w:webHidden/>
              </w:rPr>
              <w:tab/>
            </w:r>
            <w:r w:rsidR="004B1989">
              <w:rPr>
                <w:noProof/>
                <w:webHidden/>
              </w:rPr>
              <w:fldChar w:fldCharType="begin"/>
            </w:r>
            <w:r w:rsidR="004B1989">
              <w:rPr>
                <w:noProof/>
                <w:webHidden/>
              </w:rPr>
              <w:instrText xml:space="preserve"> PAGEREF _Toc517969367 \h </w:instrText>
            </w:r>
            <w:r w:rsidR="004B1989">
              <w:rPr>
                <w:noProof/>
                <w:webHidden/>
              </w:rPr>
            </w:r>
            <w:r w:rsidR="004B1989">
              <w:rPr>
                <w:noProof/>
                <w:webHidden/>
              </w:rPr>
              <w:fldChar w:fldCharType="separate"/>
            </w:r>
            <w:r w:rsidR="00710053">
              <w:rPr>
                <w:noProof/>
                <w:webHidden/>
              </w:rPr>
              <w:t>11</w:t>
            </w:r>
            <w:r w:rsidR="004B1989">
              <w:rPr>
                <w:noProof/>
                <w:webHidden/>
              </w:rPr>
              <w:fldChar w:fldCharType="end"/>
            </w:r>
          </w:hyperlink>
        </w:p>
        <w:p w14:paraId="7E30BAF9" w14:textId="44DB570C" w:rsidR="004B1989" w:rsidRDefault="00572120">
          <w:pPr>
            <w:pStyle w:val="TOC3"/>
            <w:rPr>
              <w:rFonts w:eastAsiaTheme="minorEastAsia"/>
              <w:noProof/>
              <w:lang w:val="en-US"/>
            </w:rPr>
          </w:pPr>
          <w:hyperlink w:anchor="_Toc517969368" w:history="1">
            <w:r w:rsidR="004B1989" w:rsidRPr="000C5E36">
              <w:rPr>
                <w:rStyle w:val="Hyperlink"/>
                <w:noProof/>
              </w:rPr>
              <w:t>2.2.3</w:t>
            </w:r>
            <w:r w:rsidR="004B1989">
              <w:rPr>
                <w:rFonts w:eastAsiaTheme="minorEastAsia"/>
                <w:noProof/>
                <w:lang w:val="en-US"/>
              </w:rPr>
              <w:tab/>
            </w:r>
            <w:r w:rsidR="004B1989" w:rsidRPr="000C5E36">
              <w:rPr>
                <w:rStyle w:val="Hyperlink"/>
                <w:noProof/>
              </w:rPr>
              <w:t>Service Levels:</w:t>
            </w:r>
            <w:r w:rsidR="004B1989">
              <w:rPr>
                <w:noProof/>
                <w:webHidden/>
              </w:rPr>
              <w:tab/>
            </w:r>
            <w:r w:rsidR="004B1989">
              <w:rPr>
                <w:noProof/>
                <w:webHidden/>
              </w:rPr>
              <w:fldChar w:fldCharType="begin"/>
            </w:r>
            <w:r w:rsidR="004B1989">
              <w:rPr>
                <w:noProof/>
                <w:webHidden/>
              </w:rPr>
              <w:instrText xml:space="preserve"> PAGEREF _Toc517969368 \h </w:instrText>
            </w:r>
            <w:r w:rsidR="004B1989">
              <w:rPr>
                <w:noProof/>
                <w:webHidden/>
              </w:rPr>
            </w:r>
            <w:r w:rsidR="004B1989">
              <w:rPr>
                <w:noProof/>
                <w:webHidden/>
              </w:rPr>
              <w:fldChar w:fldCharType="separate"/>
            </w:r>
            <w:r w:rsidR="00710053">
              <w:rPr>
                <w:noProof/>
                <w:webHidden/>
              </w:rPr>
              <w:t>18</w:t>
            </w:r>
            <w:r w:rsidR="004B1989">
              <w:rPr>
                <w:noProof/>
                <w:webHidden/>
              </w:rPr>
              <w:fldChar w:fldCharType="end"/>
            </w:r>
          </w:hyperlink>
        </w:p>
        <w:p w14:paraId="2E81CFEE" w14:textId="02216E5D" w:rsidR="004B1989" w:rsidRDefault="00572120">
          <w:pPr>
            <w:pStyle w:val="TOC3"/>
            <w:rPr>
              <w:rFonts w:eastAsiaTheme="minorEastAsia"/>
              <w:noProof/>
              <w:lang w:val="en-US"/>
            </w:rPr>
          </w:pPr>
          <w:hyperlink w:anchor="_Toc517969369" w:history="1">
            <w:r w:rsidR="004B1989" w:rsidRPr="000C5E36">
              <w:rPr>
                <w:rStyle w:val="Hyperlink"/>
                <w:noProof/>
              </w:rPr>
              <w:t>2.2.4</w:t>
            </w:r>
            <w:r w:rsidR="004B1989">
              <w:rPr>
                <w:rFonts w:eastAsiaTheme="minorEastAsia"/>
                <w:noProof/>
                <w:lang w:val="en-US"/>
              </w:rPr>
              <w:tab/>
            </w:r>
            <w:r w:rsidR="004B1989" w:rsidRPr="000C5E36">
              <w:rPr>
                <w:rStyle w:val="Hyperlink"/>
                <w:noProof/>
              </w:rPr>
              <w:t>Service Resiliency:</w:t>
            </w:r>
            <w:r w:rsidR="004B1989">
              <w:rPr>
                <w:noProof/>
                <w:webHidden/>
              </w:rPr>
              <w:tab/>
            </w:r>
            <w:r w:rsidR="004B1989">
              <w:rPr>
                <w:noProof/>
                <w:webHidden/>
              </w:rPr>
              <w:fldChar w:fldCharType="begin"/>
            </w:r>
            <w:r w:rsidR="004B1989">
              <w:rPr>
                <w:noProof/>
                <w:webHidden/>
              </w:rPr>
              <w:instrText xml:space="preserve"> PAGEREF _Toc517969369 \h </w:instrText>
            </w:r>
            <w:r w:rsidR="004B1989">
              <w:rPr>
                <w:noProof/>
                <w:webHidden/>
              </w:rPr>
            </w:r>
            <w:r w:rsidR="004B1989">
              <w:rPr>
                <w:noProof/>
                <w:webHidden/>
              </w:rPr>
              <w:fldChar w:fldCharType="separate"/>
            </w:r>
            <w:r w:rsidR="00710053">
              <w:rPr>
                <w:noProof/>
                <w:webHidden/>
              </w:rPr>
              <w:t>23</w:t>
            </w:r>
            <w:r w:rsidR="004B1989">
              <w:rPr>
                <w:noProof/>
                <w:webHidden/>
              </w:rPr>
              <w:fldChar w:fldCharType="end"/>
            </w:r>
          </w:hyperlink>
        </w:p>
        <w:p w14:paraId="45129F79" w14:textId="51D08F04" w:rsidR="004B1989" w:rsidRDefault="00572120">
          <w:pPr>
            <w:pStyle w:val="TOC3"/>
            <w:rPr>
              <w:rFonts w:eastAsiaTheme="minorEastAsia"/>
              <w:noProof/>
              <w:lang w:val="en-US"/>
            </w:rPr>
          </w:pPr>
          <w:hyperlink w:anchor="_Toc517969370" w:history="1">
            <w:r w:rsidR="004B1989" w:rsidRPr="000C5E36">
              <w:rPr>
                <w:rStyle w:val="Hyperlink"/>
                <w:noProof/>
              </w:rPr>
              <w:t>2.2.5</w:t>
            </w:r>
            <w:r w:rsidR="004B1989">
              <w:rPr>
                <w:rFonts w:eastAsiaTheme="minorEastAsia"/>
                <w:noProof/>
                <w:lang w:val="en-US"/>
              </w:rPr>
              <w:tab/>
            </w:r>
            <w:r w:rsidR="004B1989" w:rsidRPr="000C5E36">
              <w:rPr>
                <w:rStyle w:val="Hyperlink"/>
                <w:noProof/>
              </w:rPr>
              <w:t>Access and Usage Agreement:</w:t>
            </w:r>
            <w:r w:rsidR="004B1989">
              <w:rPr>
                <w:noProof/>
                <w:webHidden/>
              </w:rPr>
              <w:tab/>
            </w:r>
            <w:r w:rsidR="004B1989">
              <w:rPr>
                <w:noProof/>
                <w:webHidden/>
              </w:rPr>
              <w:fldChar w:fldCharType="begin"/>
            </w:r>
            <w:r w:rsidR="004B1989">
              <w:rPr>
                <w:noProof/>
                <w:webHidden/>
              </w:rPr>
              <w:instrText xml:space="preserve"> PAGEREF _Toc517969370 \h </w:instrText>
            </w:r>
            <w:r w:rsidR="004B1989">
              <w:rPr>
                <w:noProof/>
                <w:webHidden/>
              </w:rPr>
            </w:r>
            <w:r w:rsidR="004B1989">
              <w:rPr>
                <w:noProof/>
                <w:webHidden/>
              </w:rPr>
              <w:fldChar w:fldCharType="separate"/>
            </w:r>
            <w:r w:rsidR="00710053">
              <w:rPr>
                <w:noProof/>
                <w:webHidden/>
              </w:rPr>
              <w:t>25</w:t>
            </w:r>
            <w:r w:rsidR="004B1989">
              <w:rPr>
                <w:noProof/>
                <w:webHidden/>
              </w:rPr>
              <w:fldChar w:fldCharType="end"/>
            </w:r>
          </w:hyperlink>
        </w:p>
        <w:p w14:paraId="767CBFC4" w14:textId="584E5B2A" w:rsidR="004B1989" w:rsidRDefault="00572120">
          <w:pPr>
            <w:pStyle w:val="TOC1"/>
            <w:rPr>
              <w:rFonts w:eastAsiaTheme="minorEastAsia"/>
              <w:noProof/>
              <w:lang w:val="en-US"/>
            </w:rPr>
          </w:pPr>
          <w:hyperlink w:anchor="_Toc517969371" w:history="1">
            <w:r w:rsidR="004B1989" w:rsidRPr="000C5E36">
              <w:rPr>
                <w:rStyle w:val="Hyperlink"/>
                <w:noProof/>
              </w:rPr>
              <w:t>3</w:t>
            </w:r>
            <w:r w:rsidR="004B1989">
              <w:rPr>
                <w:rFonts w:eastAsiaTheme="minorEastAsia"/>
                <w:noProof/>
                <w:lang w:val="en-US"/>
              </w:rPr>
              <w:tab/>
            </w:r>
            <w:r w:rsidR="004B1989" w:rsidRPr="000C5E36">
              <w:rPr>
                <w:rStyle w:val="Hyperlink"/>
                <w:noProof/>
              </w:rPr>
              <w:t>Appendices</w:t>
            </w:r>
            <w:r w:rsidR="004B1989">
              <w:rPr>
                <w:noProof/>
                <w:webHidden/>
              </w:rPr>
              <w:tab/>
            </w:r>
            <w:r w:rsidR="004B1989">
              <w:rPr>
                <w:noProof/>
                <w:webHidden/>
              </w:rPr>
              <w:fldChar w:fldCharType="begin"/>
            </w:r>
            <w:r w:rsidR="004B1989">
              <w:rPr>
                <w:noProof/>
                <w:webHidden/>
              </w:rPr>
              <w:instrText xml:space="preserve"> PAGEREF _Toc517969371 \h </w:instrText>
            </w:r>
            <w:r w:rsidR="004B1989">
              <w:rPr>
                <w:noProof/>
                <w:webHidden/>
              </w:rPr>
            </w:r>
            <w:r w:rsidR="004B1989">
              <w:rPr>
                <w:noProof/>
                <w:webHidden/>
              </w:rPr>
              <w:fldChar w:fldCharType="separate"/>
            </w:r>
            <w:r w:rsidR="00710053">
              <w:rPr>
                <w:noProof/>
                <w:webHidden/>
              </w:rPr>
              <w:t>27</w:t>
            </w:r>
            <w:r w:rsidR="004B1989">
              <w:rPr>
                <w:noProof/>
                <w:webHidden/>
              </w:rPr>
              <w:fldChar w:fldCharType="end"/>
            </w:r>
          </w:hyperlink>
        </w:p>
        <w:p w14:paraId="2AD5C81A" w14:textId="5BEF97FC" w:rsidR="004B1989" w:rsidRDefault="00572120">
          <w:pPr>
            <w:pStyle w:val="TOC2"/>
            <w:rPr>
              <w:rFonts w:eastAsiaTheme="minorEastAsia"/>
              <w:noProof/>
              <w:lang w:val="en-US"/>
            </w:rPr>
          </w:pPr>
          <w:hyperlink w:anchor="_Toc517969372" w:history="1">
            <w:r w:rsidR="004B1989" w:rsidRPr="000C5E36">
              <w:rPr>
                <w:rStyle w:val="Hyperlink"/>
                <w:noProof/>
              </w:rPr>
              <w:t>3.1</w:t>
            </w:r>
            <w:r w:rsidR="004B1989">
              <w:rPr>
                <w:rFonts w:eastAsiaTheme="minorEastAsia"/>
                <w:noProof/>
                <w:lang w:val="en-US"/>
              </w:rPr>
              <w:tab/>
            </w:r>
            <w:r w:rsidR="004B1989" w:rsidRPr="000C5E36">
              <w:rPr>
                <w:rStyle w:val="Hyperlink"/>
                <w:noProof/>
              </w:rPr>
              <w:t>Appendix 1 - Cost Basis</w:t>
            </w:r>
            <w:r w:rsidR="004B1989">
              <w:rPr>
                <w:noProof/>
                <w:webHidden/>
              </w:rPr>
              <w:tab/>
            </w:r>
            <w:r w:rsidR="004B1989">
              <w:rPr>
                <w:noProof/>
                <w:webHidden/>
              </w:rPr>
              <w:fldChar w:fldCharType="begin"/>
            </w:r>
            <w:r w:rsidR="004B1989">
              <w:rPr>
                <w:noProof/>
                <w:webHidden/>
              </w:rPr>
              <w:instrText xml:space="preserve"> PAGEREF _Toc517969372 \h </w:instrText>
            </w:r>
            <w:r w:rsidR="004B1989">
              <w:rPr>
                <w:noProof/>
                <w:webHidden/>
              </w:rPr>
            </w:r>
            <w:r w:rsidR="004B1989">
              <w:rPr>
                <w:noProof/>
                <w:webHidden/>
              </w:rPr>
              <w:fldChar w:fldCharType="separate"/>
            </w:r>
            <w:r w:rsidR="00710053">
              <w:rPr>
                <w:noProof/>
                <w:webHidden/>
              </w:rPr>
              <w:t>27</w:t>
            </w:r>
            <w:r w:rsidR="004B1989">
              <w:rPr>
                <w:noProof/>
                <w:webHidden/>
              </w:rPr>
              <w:fldChar w:fldCharType="end"/>
            </w:r>
          </w:hyperlink>
        </w:p>
        <w:p w14:paraId="666A57B2" w14:textId="3E44F305" w:rsidR="004B1989" w:rsidRDefault="00572120">
          <w:pPr>
            <w:pStyle w:val="TOC2"/>
            <w:rPr>
              <w:rFonts w:eastAsiaTheme="minorEastAsia"/>
              <w:noProof/>
              <w:lang w:val="en-US"/>
            </w:rPr>
          </w:pPr>
          <w:hyperlink w:anchor="_Toc517969373" w:history="1">
            <w:r w:rsidR="004B1989" w:rsidRPr="000C5E36">
              <w:rPr>
                <w:rStyle w:val="Hyperlink"/>
                <w:noProof/>
              </w:rPr>
              <w:t>3.2</w:t>
            </w:r>
            <w:r w:rsidR="004B1989">
              <w:rPr>
                <w:rFonts w:eastAsiaTheme="minorEastAsia"/>
                <w:noProof/>
                <w:lang w:val="en-US"/>
              </w:rPr>
              <w:tab/>
            </w:r>
            <w:r w:rsidR="004B1989" w:rsidRPr="000C5E36">
              <w:rPr>
                <w:rStyle w:val="Hyperlink"/>
                <w:noProof/>
              </w:rPr>
              <w:t>Appendix 2 - Principles for Excess Fee Income Redistribution</w:t>
            </w:r>
            <w:r w:rsidR="004B1989">
              <w:rPr>
                <w:noProof/>
                <w:webHidden/>
              </w:rPr>
              <w:tab/>
            </w:r>
            <w:r w:rsidR="004B1989">
              <w:rPr>
                <w:noProof/>
                <w:webHidden/>
              </w:rPr>
              <w:fldChar w:fldCharType="begin"/>
            </w:r>
            <w:r w:rsidR="004B1989">
              <w:rPr>
                <w:noProof/>
                <w:webHidden/>
              </w:rPr>
              <w:instrText xml:space="preserve"> PAGEREF _Toc517969373 \h </w:instrText>
            </w:r>
            <w:r w:rsidR="004B1989">
              <w:rPr>
                <w:noProof/>
                <w:webHidden/>
              </w:rPr>
            </w:r>
            <w:r w:rsidR="004B1989">
              <w:rPr>
                <w:noProof/>
                <w:webHidden/>
              </w:rPr>
              <w:fldChar w:fldCharType="separate"/>
            </w:r>
            <w:r w:rsidR="00710053">
              <w:rPr>
                <w:noProof/>
                <w:webHidden/>
              </w:rPr>
              <w:t>28</w:t>
            </w:r>
            <w:r w:rsidR="004B1989">
              <w:rPr>
                <w:noProof/>
                <w:webHidden/>
              </w:rPr>
              <w:fldChar w:fldCharType="end"/>
            </w:r>
          </w:hyperlink>
        </w:p>
        <w:p w14:paraId="18B34818" w14:textId="0BEC037E" w:rsidR="004B1989" w:rsidRDefault="00572120">
          <w:pPr>
            <w:pStyle w:val="TOC2"/>
            <w:rPr>
              <w:rFonts w:eastAsiaTheme="minorEastAsia"/>
              <w:noProof/>
              <w:lang w:val="en-US"/>
            </w:rPr>
          </w:pPr>
          <w:hyperlink w:anchor="_Toc517969374" w:history="1">
            <w:r w:rsidR="004B1989" w:rsidRPr="000C5E36">
              <w:rPr>
                <w:rStyle w:val="Hyperlink"/>
                <w:noProof/>
              </w:rPr>
              <w:t>3.3</w:t>
            </w:r>
            <w:r w:rsidR="004B1989">
              <w:rPr>
                <w:rFonts w:eastAsiaTheme="minorEastAsia"/>
                <w:noProof/>
                <w:lang w:val="en-US"/>
              </w:rPr>
              <w:tab/>
            </w:r>
            <w:r w:rsidR="004B1989" w:rsidRPr="000C5E36">
              <w:rPr>
                <w:rStyle w:val="Hyperlink"/>
                <w:noProof/>
              </w:rPr>
              <w:t>Appendix 3 - Second Consultation Questions for Industry</w:t>
            </w:r>
            <w:r w:rsidR="004B1989">
              <w:rPr>
                <w:noProof/>
                <w:webHidden/>
              </w:rPr>
              <w:tab/>
            </w:r>
            <w:r w:rsidR="004B1989">
              <w:rPr>
                <w:noProof/>
                <w:webHidden/>
              </w:rPr>
              <w:fldChar w:fldCharType="begin"/>
            </w:r>
            <w:r w:rsidR="004B1989">
              <w:rPr>
                <w:noProof/>
                <w:webHidden/>
              </w:rPr>
              <w:instrText xml:space="preserve"> PAGEREF _Toc517969374 \h </w:instrText>
            </w:r>
            <w:r w:rsidR="004B1989">
              <w:rPr>
                <w:noProof/>
                <w:webHidden/>
              </w:rPr>
            </w:r>
            <w:r w:rsidR="004B1989">
              <w:rPr>
                <w:noProof/>
                <w:webHidden/>
              </w:rPr>
              <w:fldChar w:fldCharType="separate"/>
            </w:r>
            <w:r w:rsidR="00710053">
              <w:rPr>
                <w:noProof/>
                <w:webHidden/>
              </w:rPr>
              <w:t>29</w:t>
            </w:r>
            <w:r w:rsidR="004B1989">
              <w:rPr>
                <w:noProof/>
                <w:webHidden/>
              </w:rPr>
              <w:fldChar w:fldCharType="end"/>
            </w:r>
          </w:hyperlink>
        </w:p>
        <w:p w14:paraId="6A6625D3" w14:textId="77987B6A" w:rsidR="00805441" w:rsidRDefault="00805441">
          <w:r>
            <w:rPr>
              <w:b/>
              <w:bCs/>
              <w:noProof/>
            </w:rPr>
            <w:fldChar w:fldCharType="end"/>
          </w:r>
        </w:p>
      </w:sdtContent>
    </w:sdt>
    <w:p w14:paraId="6BC5F028" w14:textId="77777777" w:rsidR="005048F6" w:rsidRDefault="005048F6">
      <w:pPr>
        <w:rPr>
          <w:rFonts w:asciiTheme="majorHAnsi" w:eastAsiaTheme="majorEastAsia" w:hAnsiTheme="majorHAnsi" w:cstheme="majorBidi"/>
          <w:color w:val="2E74B5" w:themeColor="accent1" w:themeShade="BF"/>
          <w:sz w:val="32"/>
          <w:szCs w:val="32"/>
        </w:rPr>
      </w:pPr>
      <w:r>
        <w:br w:type="page"/>
      </w:r>
    </w:p>
    <w:p w14:paraId="239B2CF0" w14:textId="77777777" w:rsidR="005048F6" w:rsidRDefault="005048F6" w:rsidP="005048F6">
      <w:pPr>
        <w:pStyle w:val="Heading1"/>
        <w:spacing w:line="276" w:lineRule="auto"/>
        <w:ind w:left="426"/>
      </w:pPr>
      <w:bookmarkStart w:id="3" w:name="_Toc517783474"/>
      <w:bookmarkStart w:id="4" w:name="_Toc517969362"/>
      <w:r w:rsidRPr="00541F75">
        <w:lastRenderedPageBreak/>
        <w:t>Introduction</w:t>
      </w:r>
      <w:bookmarkEnd w:id="3"/>
      <w:bookmarkEnd w:id="4"/>
      <w:bookmarkEnd w:id="1"/>
      <w:bookmarkEnd w:id="0"/>
    </w:p>
    <w:p w14:paraId="1317B727" w14:textId="77777777" w:rsidR="005048F6" w:rsidRPr="00B17648" w:rsidRDefault="005048F6" w:rsidP="005048F6">
      <w:pPr>
        <w:spacing w:before="240" w:line="276" w:lineRule="auto"/>
      </w:pPr>
      <w:r w:rsidRPr="00B17648">
        <w:t>The Association of National Numbering Agencies (“ANNA”) has founded</w:t>
      </w:r>
      <w:r>
        <w:t xml:space="preserve"> </w:t>
      </w:r>
      <w:r w:rsidRPr="00B17648">
        <w:t xml:space="preserve">the Derivatives Service Bureau (DSB) for the allocation and maintenance of International Securities Identification Numbers (ISINs) for OTC derivatives. </w:t>
      </w:r>
    </w:p>
    <w:p w14:paraId="0FD9FCFB" w14:textId="77777777" w:rsidR="005048F6" w:rsidRPr="00B17648" w:rsidRDefault="005048F6" w:rsidP="005048F6">
      <w:pPr>
        <w:spacing w:line="276" w:lineRule="auto"/>
      </w:pPr>
      <w:r w:rsidRPr="00B17648">
        <w:t>The allocation of ISINs to these instruments, as well as the provision of access to the ISIN archive and associated reference data, comprise the numbering agency function of the DSB. This function is overseen by ANNA as the Registration Authority for ISINs under contract with the International Organization for Standardization (ISO) through strict rules over business and technical operations, including limiting user fees to cost recovery.</w:t>
      </w:r>
    </w:p>
    <w:p w14:paraId="38CAEA4C" w14:textId="77777777" w:rsidR="005048F6" w:rsidRPr="00B17648" w:rsidRDefault="005048F6" w:rsidP="005048F6">
      <w:pPr>
        <w:spacing w:line="276" w:lineRule="auto"/>
      </w:pPr>
      <w:r w:rsidRPr="00B17648">
        <w:t>There is discretion regarding how the fees may be structured and applied to meet these rules, and the fee structure is the primary focus of this consultation.</w:t>
      </w:r>
    </w:p>
    <w:p w14:paraId="5B8B3987" w14:textId="77777777" w:rsidR="005048F6" w:rsidRPr="00B17648" w:rsidRDefault="005048F6" w:rsidP="005048F6">
      <w:pPr>
        <w:spacing w:line="276" w:lineRule="auto"/>
      </w:pPr>
      <w:r w:rsidRPr="00B17648">
        <w:t>The European Union’s MiFID II/</w:t>
      </w:r>
      <w:r>
        <w:t xml:space="preserve"> </w:t>
      </w:r>
      <w:r w:rsidRPr="00B17648">
        <w:t>MiFIR regulations mandate the use of ISINs to identify certain OTC derivatives, starting 3</w:t>
      </w:r>
      <w:r w:rsidR="00AA2E69" w:rsidRPr="00AA2E69">
        <w:rPr>
          <w:vertAlign w:val="superscript"/>
        </w:rPr>
        <w:t>rd</w:t>
      </w:r>
      <w:r w:rsidR="00AA2E69">
        <w:t xml:space="preserve"> </w:t>
      </w:r>
      <w:r w:rsidRPr="00B17648">
        <w:t>January 2018. The affected OTC derivatives include those trad</w:t>
      </w:r>
      <w:r>
        <w:t>e</w:t>
      </w:r>
      <w:r w:rsidRPr="00B17648">
        <w:t xml:space="preserve">able on a European </w:t>
      </w:r>
      <w:r>
        <w:t>tr</w:t>
      </w:r>
      <w:r w:rsidRPr="00B17648">
        <w:t>ading venue (ToTV) and those with underlying asset(s) tradeable on a European trading venue (uToTV). The reporting obligations for these instruments affect trading venu</w:t>
      </w:r>
      <w:r>
        <w:t>es and Systematic I</w:t>
      </w:r>
      <w:r w:rsidRPr="00B17648">
        <w:t>nternalisers (SIs)</w:t>
      </w:r>
      <w:r>
        <w:rPr>
          <w:rStyle w:val="FootnoteReference"/>
        </w:rPr>
        <w:footnoteReference w:id="2"/>
      </w:r>
      <w:r w:rsidRPr="00B17648">
        <w:t xml:space="preserve">. </w:t>
      </w:r>
    </w:p>
    <w:p w14:paraId="072ADAAB" w14:textId="77777777" w:rsidR="005048F6" w:rsidRDefault="75828AE8" w:rsidP="005048F6">
      <w:pPr>
        <w:spacing w:line="276" w:lineRule="auto"/>
      </w:pPr>
      <w:r>
        <w:t xml:space="preserve">The purpose of this document is to present a summary of industry feedback to the first consultation paper in 2018 and present further information for review in the light of those responses. This second paper should be read in conjunction with the original consultation and subsequent responses which are available here </w:t>
      </w:r>
      <w:hyperlink r:id="rId9">
        <w:r w:rsidRPr="75828AE8">
          <w:rPr>
            <w:rStyle w:val="Hyperlink"/>
          </w:rPr>
          <w:t>https://www.anna-dsb.com/2019-user-fee-and-user-agreement-consultations/</w:t>
        </w:r>
      </w:hyperlink>
      <w:r>
        <w:t xml:space="preserve">.  </w:t>
      </w:r>
    </w:p>
    <w:p w14:paraId="121397CF" w14:textId="77777777" w:rsidR="005048F6" w:rsidRDefault="005048F6">
      <w:pPr>
        <w:rPr>
          <w:rFonts w:asciiTheme="majorHAnsi" w:eastAsiaTheme="majorEastAsia" w:hAnsiTheme="majorHAnsi" w:cstheme="majorBidi"/>
          <w:color w:val="2E74B5" w:themeColor="accent1" w:themeShade="BF"/>
          <w:sz w:val="32"/>
          <w:szCs w:val="32"/>
        </w:rPr>
      </w:pPr>
      <w:r>
        <w:br w:type="page"/>
      </w:r>
    </w:p>
    <w:p w14:paraId="14B390D5" w14:textId="77777777" w:rsidR="00764B72" w:rsidRDefault="00764B72" w:rsidP="00765BA8">
      <w:pPr>
        <w:pStyle w:val="Heading1"/>
        <w:spacing w:line="276" w:lineRule="auto"/>
      </w:pPr>
      <w:bookmarkStart w:id="5" w:name="_Toc517783475"/>
      <w:bookmarkStart w:id="6" w:name="_Toc517969363"/>
      <w:r>
        <w:lastRenderedPageBreak/>
        <w:t>Executive Summary</w:t>
      </w:r>
      <w:bookmarkEnd w:id="5"/>
      <w:bookmarkEnd w:id="6"/>
      <w:bookmarkEnd w:id="2"/>
    </w:p>
    <w:p w14:paraId="47C7EA6F" w14:textId="77777777" w:rsidR="00BF7F38" w:rsidRDefault="008E0EBD" w:rsidP="000C3476">
      <w:pPr>
        <w:spacing w:before="240" w:line="276" w:lineRule="auto"/>
      </w:pPr>
      <w:r>
        <w:t>European legislation MiFID II/</w:t>
      </w:r>
      <w:r w:rsidR="001D1C1B">
        <w:t xml:space="preserve"> </w:t>
      </w:r>
      <w:r>
        <w:t>MiFIR</w:t>
      </w:r>
      <w:r w:rsidR="003F57F9">
        <w:t>,</w:t>
      </w:r>
      <w:r>
        <w:t xml:space="preserve"> MAR </w:t>
      </w:r>
      <w:r w:rsidR="00D75665">
        <w:t xml:space="preserve">&amp; PRIIPs </w:t>
      </w:r>
      <w:r>
        <w:t>have specified the use of ISINs for all the instruments in-scope of the regulation, including OTC derivatives tradeable on an EU trading venue or with an underlying tradeable on an EU trading venue</w:t>
      </w:r>
      <w:r w:rsidR="006773BE">
        <w:t xml:space="preserve">. </w:t>
      </w:r>
      <w:r>
        <w:t xml:space="preserve">ANNA, after discussions with the industry and ISO, </w:t>
      </w:r>
      <w:r w:rsidR="006026A0">
        <w:t xml:space="preserve">set </w:t>
      </w:r>
      <w:r>
        <w:t>up the Derivatives Service Bureau (DSB) to assign global, permanent and timely ISINs to OTC derivatives</w:t>
      </w:r>
      <w:r w:rsidR="00BF7F38">
        <w:t xml:space="preserve">. </w:t>
      </w:r>
    </w:p>
    <w:p w14:paraId="5B7980DC" w14:textId="77777777" w:rsidR="008E0EBD" w:rsidRDefault="00BF7F38" w:rsidP="000C3476">
      <w:pPr>
        <w:spacing w:before="240" w:line="276" w:lineRule="auto"/>
      </w:pPr>
      <w:r>
        <w:t xml:space="preserve">The current level of ISIN generated by the DSB is designed to enable users to satisfy their RTS-23 obligations, with additional levels of ISIN able to be created </w:t>
      </w:r>
      <w:r w:rsidR="009C3487">
        <w:t xml:space="preserve">as required by </w:t>
      </w:r>
      <w:r>
        <w:t xml:space="preserve">industry. </w:t>
      </w:r>
    </w:p>
    <w:p w14:paraId="5F515E46" w14:textId="77777777" w:rsidR="00DC672A" w:rsidRDefault="00D75665" w:rsidP="000C3476">
      <w:pPr>
        <w:spacing w:before="240" w:after="0" w:line="276" w:lineRule="auto"/>
      </w:pPr>
      <w:r>
        <w:t>T</w:t>
      </w:r>
      <w:r w:rsidR="008E0EBD">
        <w:t xml:space="preserve">he DSB completed </w:t>
      </w:r>
      <w:r w:rsidR="006773BE">
        <w:t xml:space="preserve">a </w:t>
      </w:r>
      <w:r w:rsidR="008E0EBD">
        <w:t xml:space="preserve">first consultation on the </w:t>
      </w:r>
      <w:r w:rsidR="009F7A9B">
        <w:t xml:space="preserve">2019 </w:t>
      </w:r>
      <w:r w:rsidR="008E0EBD">
        <w:t>fee model</w:t>
      </w:r>
      <w:r w:rsidR="005C58BA">
        <w:t xml:space="preserve">, user categories, legal agreement, service levels, service availability and functionality </w:t>
      </w:r>
      <w:r w:rsidR="00907CB3">
        <w:t>on 13</w:t>
      </w:r>
      <w:r w:rsidR="00907CB3" w:rsidRPr="00907CB3">
        <w:rPr>
          <w:vertAlign w:val="superscript"/>
        </w:rPr>
        <w:t>th</w:t>
      </w:r>
      <w:r w:rsidR="00907CB3">
        <w:t xml:space="preserve"> Jun</w:t>
      </w:r>
      <w:r w:rsidR="008C3C11">
        <w:t>e 2018, with industry responses</w:t>
      </w:r>
      <w:r w:rsidR="008E0EBD">
        <w:t xml:space="preserve"> </w:t>
      </w:r>
      <w:hyperlink r:id="rId10" w:history="1">
        <w:r w:rsidR="008E0EBD" w:rsidRPr="00DC672A">
          <w:rPr>
            <w:rStyle w:val="Hyperlink"/>
          </w:rPr>
          <w:t xml:space="preserve">published </w:t>
        </w:r>
        <w:r w:rsidR="00DC672A">
          <w:rPr>
            <w:rStyle w:val="Hyperlink"/>
          </w:rPr>
          <w:t xml:space="preserve">here </w:t>
        </w:r>
        <w:r w:rsidR="00DC672A" w:rsidRPr="00DC672A">
          <w:rPr>
            <w:rStyle w:val="Hyperlink"/>
          </w:rPr>
          <w:t>on the DSB website</w:t>
        </w:r>
      </w:hyperlink>
      <w:r w:rsidR="00DC672A">
        <w:t xml:space="preserve">. </w:t>
      </w:r>
    </w:p>
    <w:p w14:paraId="4F9A81EA" w14:textId="77777777" w:rsidR="00206606" w:rsidRDefault="00206606" w:rsidP="000C3476">
      <w:pPr>
        <w:spacing w:before="240" w:line="276" w:lineRule="auto"/>
      </w:pPr>
      <w:r>
        <w:t xml:space="preserve">The DSB facilitates access </w:t>
      </w:r>
      <w:r w:rsidR="009C3487">
        <w:t>for</w:t>
      </w:r>
      <w:r>
        <w:t xml:space="preserve"> a broad spectrum of users, including credit institutions, small brokerages, private wealth management firms</w:t>
      </w:r>
      <w:r w:rsidR="009C3487">
        <w:t xml:space="preserve">, </w:t>
      </w:r>
      <w:r w:rsidR="00AE3DE2">
        <w:t xml:space="preserve">boutique </w:t>
      </w:r>
      <w:r>
        <w:t>asset man</w:t>
      </w:r>
      <w:r w:rsidR="00AE3DE2">
        <w:t>agers</w:t>
      </w:r>
      <w:r w:rsidR="00132D92">
        <w:t xml:space="preserve">, </w:t>
      </w:r>
      <w:r w:rsidR="00AE3DE2">
        <w:t>large, multi-</w:t>
      </w:r>
      <w:r w:rsidR="00132D92">
        <w:t>segment</w:t>
      </w:r>
      <w:r w:rsidR="009C3487">
        <w:t xml:space="preserve"> and/or multi-market</w:t>
      </w:r>
      <w:r w:rsidR="00AE3DE2">
        <w:t xml:space="preserve"> trading venues</w:t>
      </w:r>
      <w:r w:rsidR="00132D92">
        <w:t>,</w:t>
      </w:r>
      <w:r w:rsidR="00AE3DE2">
        <w:t xml:space="preserve"> </w:t>
      </w:r>
      <w:r>
        <w:t>derivatives houses from across the buy</w:t>
      </w:r>
      <w:r w:rsidR="00132D92">
        <w:t xml:space="preserve"> and sell</w:t>
      </w:r>
      <w:r>
        <w:t>-side</w:t>
      </w:r>
      <w:r w:rsidR="00132D92">
        <w:t>s</w:t>
      </w:r>
      <w:r>
        <w:t xml:space="preserve"> and </w:t>
      </w:r>
      <w:r w:rsidR="00132D92">
        <w:t>universal</w:t>
      </w:r>
      <w:r w:rsidR="009C3487">
        <w:t>-</w:t>
      </w:r>
      <w:r w:rsidR="00132D92">
        <w:t xml:space="preserve">bank style </w:t>
      </w:r>
      <w:r>
        <w:t xml:space="preserve">sell-side </w:t>
      </w:r>
      <w:r w:rsidR="00132D92">
        <w:t>institutions with multiple business segments within a single group holding structure</w:t>
      </w:r>
      <w:r>
        <w:t xml:space="preserve">. </w:t>
      </w:r>
    </w:p>
    <w:p w14:paraId="7576C9B8" w14:textId="77777777" w:rsidR="0042070F" w:rsidRDefault="00633D35" w:rsidP="000C3476">
      <w:pPr>
        <w:spacing w:before="240" w:line="276" w:lineRule="auto"/>
      </w:pPr>
      <w:r>
        <w:t xml:space="preserve">Details about the first consultation were sent to </w:t>
      </w:r>
      <w:r w:rsidR="00005CAE">
        <w:t xml:space="preserve">the DSB’s user community - almost 2,000 </w:t>
      </w:r>
      <w:r w:rsidR="00B0732E">
        <w:t xml:space="preserve">individuals </w:t>
      </w:r>
      <w:r w:rsidR="00005CAE">
        <w:t xml:space="preserve">across a total of 373 organizations. </w:t>
      </w:r>
      <w:r w:rsidR="003C474B">
        <w:t>The DSB’s user community is comprised of 70% Registered Users (free service), 21% Power Users (</w:t>
      </w:r>
      <w:r w:rsidR="00B0732E">
        <w:t xml:space="preserve">organizations with </w:t>
      </w:r>
      <w:r w:rsidR="003C474B">
        <w:t>programmatic</w:t>
      </w:r>
      <w:r w:rsidR="0042070F">
        <w:t xml:space="preserve"> connectivity)</w:t>
      </w:r>
      <w:r w:rsidR="00B0732E">
        <w:t xml:space="preserve">, </w:t>
      </w:r>
      <w:r w:rsidR="0042070F">
        <w:t xml:space="preserve">6% Infrequent Users (GUI connectivity) and 3% Standard Users (GUI connectivity). </w:t>
      </w:r>
      <w:r w:rsidR="006635CD">
        <w:t xml:space="preserve">Amongst fee paying users; banks and credit institutions contribute towards 50% of DSB fees, trading venues contribute 35% with the balance comprised of the buy-side, data vendors and others. </w:t>
      </w:r>
    </w:p>
    <w:p w14:paraId="69257E45" w14:textId="77777777" w:rsidR="00886523" w:rsidRDefault="00005CAE" w:rsidP="000C3476">
      <w:pPr>
        <w:spacing w:before="240" w:line="276" w:lineRule="auto"/>
      </w:pPr>
      <w:r>
        <w:t xml:space="preserve">The DSB received </w:t>
      </w:r>
      <w:r w:rsidR="00DC672A">
        <w:t>16 responses</w:t>
      </w:r>
      <w:r w:rsidR="006A0C7C">
        <w:t>, representing a total of 2</w:t>
      </w:r>
      <w:r w:rsidR="00DC672A">
        <w:t>0 institutions</w:t>
      </w:r>
      <w:r w:rsidR="00B64156">
        <w:t xml:space="preserve"> from across the industry</w:t>
      </w:r>
      <w:r w:rsidR="00BF7F38">
        <w:t xml:space="preserve">, </w:t>
      </w:r>
      <w:r w:rsidR="00886523">
        <w:t xml:space="preserve">with heavy </w:t>
      </w:r>
      <w:r w:rsidR="0042070F">
        <w:t>r</w:t>
      </w:r>
      <w:r w:rsidR="00BF7F38">
        <w:t>epresent</w:t>
      </w:r>
      <w:r w:rsidR="00886523">
        <w:t xml:space="preserve">ation from the largest fee-paying users in the Power User (i.e. </w:t>
      </w:r>
      <w:r w:rsidR="00BF7F38">
        <w:t>programmatic user</w:t>
      </w:r>
      <w:r w:rsidR="00886523">
        <w:t>)</w:t>
      </w:r>
      <w:r w:rsidR="00BF7F38">
        <w:t xml:space="preserve"> </w:t>
      </w:r>
      <w:r w:rsidR="00886523">
        <w:t>segment</w:t>
      </w:r>
      <w:r w:rsidR="00B64156">
        <w:t>.</w:t>
      </w:r>
      <w:r w:rsidR="00886523">
        <w:t xml:space="preserve"> The open questions in sections three and four below are thus </w:t>
      </w:r>
      <w:r w:rsidR="009C3487">
        <w:t xml:space="preserve">largely </w:t>
      </w:r>
      <w:r w:rsidR="00886523">
        <w:t xml:space="preserve">formulated to further investigate the needs of these heavier users of the DSB’s infrastructure. </w:t>
      </w:r>
    </w:p>
    <w:p w14:paraId="5E6A0298" w14:textId="77777777" w:rsidR="00DC672A" w:rsidRDefault="00B64156" w:rsidP="000C3476">
      <w:pPr>
        <w:spacing w:before="240" w:line="276" w:lineRule="auto"/>
      </w:pPr>
      <w:r>
        <w:t xml:space="preserve">Respondents included trading venues, trade associations, data vendors, buy-side and sell-side institutions. </w:t>
      </w:r>
      <w:r w:rsidR="00886523">
        <w:t xml:space="preserve">It was notable that where members of various trade associations </w:t>
      </w:r>
      <w:r w:rsidR="00AE3DE2">
        <w:t xml:space="preserve">independently </w:t>
      </w:r>
      <w:r w:rsidR="00886523">
        <w:t>responded to the DSB consultation, m</w:t>
      </w:r>
      <w:r w:rsidR="00AE3DE2">
        <w:t xml:space="preserve">any </w:t>
      </w:r>
      <w:r w:rsidR="00886523">
        <w:t xml:space="preserve">requested that their responses be kept anonymous. The DSB has honoured these requests in line with standard practice while noting the type of institution at the header of each such response. </w:t>
      </w:r>
    </w:p>
    <w:p w14:paraId="23F25FC8" w14:textId="77777777" w:rsidR="00886523" w:rsidRDefault="75828AE8" w:rsidP="000C3476">
      <w:pPr>
        <w:spacing w:before="240" w:after="0" w:line="276" w:lineRule="auto"/>
      </w:pPr>
      <w:r>
        <w:t xml:space="preserve">Responses to the first consultation paper (CP1) show a divergence in the needs of the differing constituencies served by the DSB - with </w:t>
      </w:r>
      <w:r w:rsidR="00886523">
        <w:t>(i) Systematic</w:t>
      </w:r>
      <w:r>
        <w:t xml:space="preserve"> Internalisers seeking an expansion of DSB product coverage and ISIN </w:t>
      </w:r>
      <w:r w:rsidR="00886523">
        <w:t>hierarchies</w:t>
      </w:r>
      <w:r>
        <w:t xml:space="preserve"> </w:t>
      </w:r>
      <w:r w:rsidR="00886523">
        <w:t xml:space="preserve">whilst </w:t>
      </w:r>
      <w:r>
        <w:t xml:space="preserve">Trading Venues </w:t>
      </w:r>
      <w:r w:rsidR="00224A07">
        <w:t xml:space="preserve">(in general) </w:t>
      </w:r>
      <w:r w:rsidR="00C10D6D">
        <w:t xml:space="preserve">not seeing a need for further expansion of products or services. </w:t>
      </w:r>
      <w:r w:rsidR="000C3476">
        <w:t xml:space="preserve"> </w:t>
      </w:r>
    </w:p>
    <w:p w14:paraId="245137FA" w14:textId="77777777" w:rsidR="75828AE8" w:rsidRDefault="00886523" w:rsidP="000C3476">
      <w:pPr>
        <w:spacing w:before="240" w:after="0" w:line="276" w:lineRule="auto"/>
      </w:pPr>
      <w:r>
        <w:lastRenderedPageBreak/>
        <w:t>Common themes across many responses included requests for (a) earlier engagement in the budgetary cycle, (b) broader participation in the DSB’s governance framework</w:t>
      </w:r>
      <w:r w:rsidR="00E5507E">
        <w:t xml:space="preserve"> </w:t>
      </w:r>
      <w:r>
        <w:t>and (</w:t>
      </w:r>
      <w:r w:rsidR="00E5507E">
        <w:t>c</w:t>
      </w:r>
      <w:r>
        <w:t xml:space="preserve">) simplification of the legal agreement structure for firms operating multiple entities. </w:t>
      </w:r>
    </w:p>
    <w:p w14:paraId="5ADD2DC3" w14:textId="77777777" w:rsidR="00CC0FEF" w:rsidRDefault="002D2490" w:rsidP="002D2490">
      <w:pPr>
        <w:spacing w:before="240" w:line="276" w:lineRule="auto"/>
      </w:pPr>
      <w:r>
        <w:t>This second consultation opens on 28</w:t>
      </w:r>
      <w:r w:rsidRPr="00AE3DE2">
        <w:rPr>
          <w:vertAlign w:val="superscript"/>
        </w:rPr>
        <w:t>th</w:t>
      </w:r>
      <w:r w:rsidR="00AE3DE2">
        <w:t xml:space="preserve"> </w:t>
      </w:r>
      <w:r>
        <w:t>June 2018 and will close on 27</w:t>
      </w:r>
      <w:r w:rsidRPr="00AE3DE2">
        <w:rPr>
          <w:vertAlign w:val="superscript"/>
        </w:rPr>
        <w:t>th</w:t>
      </w:r>
      <w:r w:rsidR="00AE3DE2">
        <w:t xml:space="preserve"> </w:t>
      </w:r>
      <w:r>
        <w:t>July 2018, with a final consultation report to be published on 20</w:t>
      </w:r>
      <w:r w:rsidRPr="00AE3DE2">
        <w:rPr>
          <w:vertAlign w:val="superscript"/>
        </w:rPr>
        <w:t>th</w:t>
      </w:r>
      <w:r w:rsidR="00AE3DE2">
        <w:t xml:space="preserve"> </w:t>
      </w:r>
      <w:r>
        <w:t xml:space="preserve">August 2018. The first consultation sought to obtain industry views on a broad range of topics arising from user feedback during the prior 12-month period, with this second consultation intended to summarize industry responses and set out some further information, including next steps where these are available. </w:t>
      </w:r>
    </w:p>
    <w:p w14:paraId="723177AA" w14:textId="77777777" w:rsidR="000C3476" w:rsidRDefault="002D2490" w:rsidP="002D2490">
      <w:pPr>
        <w:spacing w:before="240" w:line="276" w:lineRule="auto"/>
      </w:pPr>
      <w:r>
        <w:t xml:space="preserve">As a reminder, the </w:t>
      </w:r>
      <w:r w:rsidR="000C3476">
        <w:t>DSB</w:t>
      </w:r>
      <w:r>
        <w:t>’s</w:t>
      </w:r>
      <w:r w:rsidR="000C3476">
        <w:t xml:space="preserve"> consultation and publication schedule </w:t>
      </w:r>
      <w:r>
        <w:t xml:space="preserve">for 2018 </w:t>
      </w:r>
      <w:r w:rsidR="000C3476">
        <w:t xml:space="preserve">is as follows: </w:t>
      </w:r>
    </w:p>
    <w:tbl>
      <w:tblPr>
        <w:tblStyle w:val="GridTable4-Accent1"/>
        <w:tblW w:w="9378" w:type="dxa"/>
        <w:tblLook w:val="04A0" w:firstRow="1" w:lastRow="0" w:firstColumn="1" w:lastColumn="0" w:noHBand="0" w:noVBand="1"/>
      </w:tblPr>
      <w:tblGrid>
        <w:gridCol w:w="1975"/>
        <w:gridCol w:w="6319"/>
        <w:gridCol w:w="1084"/>
      </w:tblGrid>
      <w:tr w:rsidR="009C3487" w14:paraId="5AD68871" w14:textId="77777777" w:rsidTr="00881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6EC8AF30" w14:textId="77777777" w:rsidR="009C3487" w:rsidRDefault="009C3487" w:rsidP="008810E7">
            <w:pPr>
              <w:spacing w:before="240" w:line="276" w:lineRule="auto"/>
            </w:pPr>
            <w:r>
              <w:t>Date</w:t>
            </w:r>
          </w:p>
        </w:tc>
        <w:tc>
          <w:tcPr>
            <w:tcW w:w="0" w:type="auto"/>
          </w:tcPr>
          <w:p w14:paraId="23F5BD26" w14:textId="77777777" w:rsidR="009C3487" w:rsidRDefault="009C3487" w:rsidP="008810E7">
            <w:pPr>
              <w:spacing w:before="240" w:line="276" w:lineRule="auto"/>
              <w:cnfStyle w:val="100000000000" w:firstRow="1" w:lastRow="0" w:firstColumn="0" w:lastColumn="0" w:oddVBand="0" w:evenVBand="0" w:oddHBand="0" w:evenHBand="0" w:firstRowFirstColumn="0" w:firstRowLastColumn="0" w:lastRowFirstColumn="0" w:lastRowLastColumn="0"/>
            </w:pPr>
            <w:r>
              <w:t>Milestone</w:t>
            </w:r>
          </w:p>
        </w:tc>
        <w:tc>
          <w:tcPr>
            <w:tcW w:w="0" w:type="auto"/>
          </w:tcPr>
          <w:p w14:paraId="25662642" w14:textId="77777777" w:rsidR="009C3487" w:rsidRDefault="009C3487" w:rsidP="008810E7">
            <w:pPr>
              <w:spacing w:before="240" w:line="276" w:lineRule="auto"/>
              <w:cnfStyle w:val="100000000000" w:firstRow="1" w:lastRow="0" w:firstColumn="0" w:lastColumn="0" w:oddVBand="0" w:evenVBand="0" w:oddHBand="0" w:evenHBand="0" w:firstRowFirstColumn="0" w:firstRowLastColumn="0" w:lastRowFirstColumn="0" w:lastRowLastColumn="0"/>
            </w:pPr>
            <w:r>
              <w:t>Status</w:t>
            </w:r>
          </w:p>
        </w:tc>
      </w:tr>
      <w:tr w:rsidR="009C3487" w14:paraId="6C17AFB8" w14:textId="77777777" w:rsidTr="00881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33D486A" w14:textId="77777777" w:rsidR="009C3487" w:rsidRDefault="009C3487" w:rsidP="008810E7">
            <w:pPr>
              <w:spacing w:before="240" w:line="276" w:lineRule="auto"/>
            </w:pPr>
            <w:r>
              <w:t>Fri 18-May-2018</w:t>
            </w:r>
          </w:p>
        </w:tc>
        <w:tc>
          <w:tcPr>
            <w:tcW w:w="0" w:type="auto"/>
          </w:tcPr>
          <w:p w14:paraId="111003E5" w14:textId="77777777" w:rsidR="009C3487" w:rsidRDefault="009C3487" w:rsidP="008810E7">
            <w:pPr>
              <w:spacing w:before="240" w:line="276" w:lineRule="auto"/>
              <w:cnfStyle w:val="000000100000" w:firstRow="0" w:lastRow="0" w:firstColumn="0" w:lastColumn="0" w:oddVBand="0" w:evenVBand="0" w:oddHBand="1" w:evenHBand="0" w:firstRowFirstColumn="0" w:firstRowLastColumn="0" w:lastRowFirstColumn="0" w:lastRowLastColumn="0"/>
            </w:pPr>
            <w:r w:rsidRPr="00CB5AE1">
              <w:t>DSB Webinar on 2019 Fee Model, User Agreement principles (first consultation)</w:t>
            </w:r>
          </w:p>
        </w:tc>
        <w:tc>
          <w:tcPr>
            <w:tcW w:w="0" w:type="auto"/>
          </w:tcPr>
          <w:p w14:paraId="2E72258F" w14:textId="77777777" w:rsidR="009C3487" w:rsidRDefault="009C3487" w:rsidP="008810E7">
            <w:pPr>
              <w:spacing w:before="240" w:line="276" w:lineRule="auto"/>
              <w:cnfStyle w:val="000000100000" w:firstRow="0" w:lastRow="0" w:firstColumn="0" w:lastColumn="0" w:oddVBand="0" w:evenVBand="0" w:oddHBand="1" w:evenHBand="0" w:firstRowFirstColumn="0" w:firstRowLastColumn="0" w:lastRowFirstColumn="0" w:lastRowLastColumn="0"/>
            </w:pPr>
            <w:r>
              <w:t>Complete</w:t>
            </w:r>
          </w:p>
        </w:tc>
      </w:tr>
      <w:tr w:rsidR="009C3487" w14:paraId="258C0FDB" w14:textId="77777777" w:rsidTr="008810E7">
        <w:tc>
          <w:tcPr>
            <w:cnfStyle w:val="001000000000" w:firstRow="0" w:lastRow="0" w:firstColumn="1" w:lastColumn="0" w:oddVBand="0" w:evenVBand="0" w:oddHBand="0" w:evenHBand="0" w:firstRowFirstColumn="0" w:firstRowLastColumn="0" w:lastRowFirstColumn="0" w:lastRowLastColumn="0"/>
            <w:tcW w:w="1975" w:type="dxa"/>
          </w:tcPr>
          <w:p w14:paraId="63BD1EB4" w14:textId="77777777" w:rsidR="009C3487" w:rsidRDefault="009C3487" w:rsidP="008810E7">
            <w:pPr>
              <w:spacing w:before="240" w:line="276" w:lineRule="auto"/>
            </w:pPr>
            <w:r>
              <w:t>Wed 13-Jun-2018</w:t>
            </w:r>
          </w:p>
        </w:tc>
        <w:tc>
          <w:tcPr>
            <w:tcW w:w="0" w:type="auto"/>
          </w:tcPr>
          <w:p w14:paraId="694FB8C7" w14:textId="77777777" w:rsidR="009C3487" w:rsidRDefault="009C3487" w:rsidP="008810E7">
            <w:pPr>
              <w:spacing w:before="240" w:line="276" w:lineRule="auto"/>
              <w:cnfStyle w:val="000000000000" w:firstRow="0" w:lastRow="0" w:firstColumn="0" w:lastColumn="0" w:oddVBand="0" w:evenVBand="0" w:oddHBand="0" w:evenHBand="0" w:firstRowFirstColumn="0" w:firstRowLastColumn="0" w:lastRowFirstColumn="0" w:lastRowLastColumn="0"/>
            </w:pPr>
            <w:r w:rsidRPr="00CB5AE1">
              <w:t>Deadline for industry feedback on presentation deck from 19 May 2018</w:t>
            </w:r>
          </w:p>
        </w:tc>
        <w:tc>
          <w:tcPr>
            <w:tcW w:w="0" w:type="auto"/>
          </w:tcPr>
          <w:p w14:paraId="32709EE2" w14:textId="77777777" w:rsidR="009C3487" w:rsidRDefault="009C3487" w:rsidP="008810E7">
            <w:pPr>
              <w:spacing w:before="240" w:line="276" w:lineRule="auto"/>
              <w:cnfStyle w:val="000000000000" w:firstRow="0" w:lastRow="0" w:firstColumn="0" w:lastColumn="0" w:oddVBand="0" w:evenVBand="0" w:oddHBand="0" w:evenHBand="0" w:firstRowFirstColumn="0" w:firstRowLastColumn="0" w:lastRowFirstColumn="0" w:lastRowLastColumn="0"/>
            </w:pPr>
            <w:r>
              <w:t>Complete</w:t>
            </w:r>
          </w:p>
        </w:tc>
      </w:tr>
      <w:tr w:rsidR="009C3487" w14:paraId="18468E15" w14:textId="77777777" w:rsidTr="008810E7">
        <w:trPr>
          <w:cnfStyle w:val="000000100000" w:firstRow="0" w:lastRow="0" w:firstColumn="0" w:lastColumn="0" w:oddVBand="0" w:evenVBand="0" w:oddHBand="1" w:evenHBand="0" w:firstRowFirstColumn="0" w:firstRowLastColumn="0" w:lastRowFirstColumn="0" w:lastRowLastColumn="0"/>
          <w:trHeight w:val="764"/>
        </w:trPr>
        <w:tc>
          <w:tcPr>
            <w:cnfStyle w:val="001000000000" w:firstRow="0" w:lastRow="0" w:firstColumn="1" w:lastColumn="0" w:oddVBand="0" w:evenVBand="0" w:oddHBand="0" w:evenHBand="0" w:firstRowFirstColumn="0" w:firstRowLastColumn="0" w:lastRowFirstColumn="0" w:lastRowLastColumn="0"/>
            <w:tcW w:w="1975" w:type="dxa"/>
          </w:tcPr>
          <w:p w14:paraId="0949108A" w14:textId="77777777" w:rsidR="009C3487" w:rsidRDefault="009C3487" w:rsidP="008810E7">
            <w:pPr>
              <w:spacing w:before="240" w:line="276" w:lineRule="auto"/>
            </w:pPr>
            <w:r>
              <w:t>Thu 28-Jun-2018</w:t>
            </w:r>
          </w:p>
        </w:tc>
        <w:tc>
          <w:tcPr>
            <w:tcW w:w="0" w:type="auto"/>
          </w:tcPr>
          <w:p w14:paraId="530C38A7" w14:textId="77777777" w:rsidR="009C3487" w:rsidRDefault="009C3487" w:rsidP="008810E7">
            <w:pPr>
              <w:spacing w:before="240" w:line="276" w:lineRule="auto"/>
              <w:cnfStyle w:val="000000100000" w:firstRow="0" w:lastRow="0" w:firstColumn="0" w:lastColumn="0" w:oddVBand="0" w:evenVBand="0" w:oddHBand="1" w:evenHBand="0" w:firstRowFirstColumn="0" w:firstRowLastColumn="0" w:lastRowFirstColumn="0" w:lastRowLastColumn="0"/>
            </w:pPr>
            <w:r w:rsidRPr="00CB5AE1">
              <w:t>Publication of second DSB consultation</w:t>
            </w:r>
          </w:p>
        </w:tc>
        <w:tc>
          <w:tcPr>
            <w:tcW w:w="0" w:type="auto"/>
          </w:tcPr>
          <w:p w14:paraId="16E63331" w14:textId="77777777" w:rsidR="009C3487" w:rsidRDefault="009C3487" w:rsidP="008810E7">
            <w:pPr>
              <w:spacing w:before="240" w:line="276" w:lineRule="auto"/>
              <w:cnfStyle w:val="000000100000" w:firstRow="0" w:lastRow="0" w:firstColumn="0" w:lastColumn="0" w:oddVBand="0" w:evenVBand="0" w:oddHBand="1" w:evenHBand="0" w:firstRowFirstColumn="0" w:firstRowLastColumn="0" w:lastRowFirstColumn="0" w:lastRowLastColumn="0"/>
            </w:pPr>
            <w:r>
              <w:t>Complete</w:t>
            </w:r>
          </w:p>
        </w:tc>
      </w:tr>
      <w:tr w:rsidR="009C3487" w14:paraId="77FD2EFF" w14:textId="77777777" w:rsidTr="008810E7">
        <w:trPr>
          <w:trHeight w:val="737"/>
        </w:trPr>
        <w:tc>
          <w:tcPr>
            <w:cnfStyle w:val="001000000000" w:firstRow="0" w:lastRow="0" w:firstColumn="1" w:lastColumn="0" w:oddVBand="0" w:evenVBand="0" w:oddHBand="0" w:evenHBand="0" w:firstRowFirstColumn="0" w:firstRowLastColumn="0" w:lastRowFirstColumn="0" w:lastRowLastColumn="0"/>
            <w:tcW w:w="1975" w:type="dxa"/>
          </w:tcPr>
          <w:p w14:paraId="65C586B4" w14:textId="77777777" w:rsidR="009C3487" w:rsidRDefault="009C3487" w:rsidP="008810E7">
            <w:pPr>
              <w:spacing w:before="240" w:line="276" w:lineRule="auto"/>
            </w:pPr>
            <w:r>
              <w:t>Tue 03-Jul-2018</w:t>
            </w:r>
          </w:p>
        </w:tc>
        <w:tc>
          <w:tcPr>
            <w:tcW w:w="0" w:type="auto"/>
          </w:tcPr>
          <w:p w14:paraId="65CDA7BE" w14:textId="77777777" w:rsidR="009C3487" w:rsidRDefault="009C3487" w:rsidP="008810E7">
            <w:pPr>
              <w:spacing w:before="240" w:line="276" w:lineRule="auto"/>
              <w:cnfStyle w:val="000000000000" w:firstRow="0" w:lastRow="0" w:firstColumn="0" w:lastColumn="0" w:oddVBand="0" w:evenVBand="0" w:oddHBand="0" w:evenHBand="0" w:firstRowFirstColumn="0" w:firstRowLastColumn="0" w:lastRowFirstColumn="0" w:lastRowLastColumn="0"/>
            </w:pPr>
            <w:r w:rsidRPr="00CB5AE1">
              <w:t>Second DSB webinar on Fee Model &amp; User Agreement Consultation</w:t>
            </w:r>
          </w:p>
        </w:tc>
        <w:tc>
          <w:tcPr>
            <w:tcW w:w="0" w:type="auto"/>
          </w:tcPr>
          <w:p w14:paraId="1DA903A2" w14:textId="77777777" w:rsidR="009C3487" w:rsidRDefault="009C3487" w:rsidP="008810E7">
            <w:pPr>
              <w:spacing w:before="240" w:line="276" w:lineRule="auto"/>
              <w:cnfStyle w:val="000000000000" w:firstRow="0" w:lastRow="0" w:firstColumn="0" w:lastColumn="0" w:oddVBand="0" w:evenVBand="0" w:oddHBand="0" w:evenHBand="0" w:firstRowFirstColumn="0" w:firstRowLastColumn="0" w:lastRowFirstColumn="0" w:lastRowLastColumn="0"/>
            </w:pPr>
          </w:p>
        </w:tc>
      </w:tr>
      <w:tr w:rsidR="009C3487" w14:paraId="39C23A2E" w14:textId="77777777" w:rsidTr="00881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4700E1F9" w14:textId="77777777" w:rsidR="009C3487" w:rsidRDefault="009C3487" w:rsidP="008810E7">
            <w:pPr>
              <w:spacing w:before="240" w:line="276" w:lineRule="auto"/>
            </w:pPr>
            <w:r>
              <w:t>Fri 27-Jul-2018</w:t>
            </w:r>
          </w:p>
        </w:tc>
        <w:tc>
          <w:tcPr>
            <w:tcW w:w="0" w:type="auto"/>
          </w:tcPr>
          <w:p w14:paraId="07E9F8AF" w14:textId="77777777" w:rsidR="009C3487" w:rsidRDefault="009C3487" w:rsidP="008810E7">
            <w:pPr>
              <w:spacing w:before="240" w:line="276" w:lineRule="auto"/>
              <w:cnfStyle w:val="000000100000" w:firstRow="0" w:lastRow="0" w:firstColumn="0" w:lastColumn="0" w:oddVBand="0" w:evenVBand="0" w:oddHBand="1" w:evenHBand="0" w:firstRowFirstColumn="0" w:firstRowLastColumn="0" w:lastRowFirstColumn="0" w:lastRowLastColumn="0"/>
            </w:pPr>
            <w:r w:rsidRPr="00CB5AE1">
              <w:t xml:space="preserve">Deadline for industry feedback on second consultation from </w:t>
            </w:r>
            <w:r>
              <w:t>28 June</w:t>
            </w:r>
            <w:r w:rsidRPr="00CB5AE1">
              <w:t xml:space="preserve"> 2018</w:t>
            </w:r>
          </w:p>
        </w:tc>
        <w:tc>
          <w:tcPr>
            <w:tcW w:w="0" w:type="auto"/>
          </w:tcPr>
          <w:p w14:paraId="35F60247" w14:textId="77777777" w:rsidR="009C3487" w:rsidRDefault="009C3487" w:rsidP="008810E7">
            <w:pPr>
              <w:spacing w:before="240" w:line="276" w:lineRule="auto"/>
              <w:cnfStyle w:val="000000100000" w:firstRow="0" w:lastRow="0" w:firstColumn="0" w:lastColumn="0" w:oddVBand="0" w:evenVBand="0" w:oddHBand="1" w:evenHBand="0" w:firstRowFirstColumn="0" w:firstRowLastColumn="0" w:lastRowFirstColumn="0" w:lastRowLastColumn="0"/>
            </w:pPr>
          </w:p>
        </w:tc>
      </w:tr>
      <w:tr w:rsidR="009C3487" w14:paraId="42E5625F" w14:textId="77777777" w:rsidTr="008810E7">
        <w:tc>
          <w:tcPr>
            <w:cnfStyle w:val="001000000000" w:firstRow="0" w:lastRow="0" w:firstColumn="1" w:lastColumn="0" w:oddVBand="0" w:evenVBand="0" w:oddHBand="0" w:evenHBand="0" w:firstRowFirstColumn="0" w:firstRowLastColumn="0" w:lastRowFirstColumn="0" w:lastRowLastColumn="0"/>
            <w:tcW w:w="1975" w:type="dxa"/>
          </w:tcPr>
          <w:p w14:paraId="6B3ECF20" w14:textId="77777777" w:rsidR="009C3487" w:rsidRDefault="009C3487" w:rsidP="008810E7">
            <w:pPr>
              <w:spacing w:before="240" w:line="276" w:lineRule="auto"/>
            </w:pPr>
            <w:r>
              <w:t>Mon 20-Aug-2018</w:t>
            </w:r>
          </w:p>
        </w:tc>
        <w:tc>
          <w:tcPr>
            <w:tcW w:w="0" w:type="auto"/>
          </w:tcPr>
          <w:p w14:paraId="639CE55A" w14:textId="77777777" w:rsidR="009C3487" w:rsidRDefault="009C3487" w:rsidP="008810E7">
            <w:pPr>
              <w:spacing w:before="240" w:line="276" w:lineRule="auto"/>
              <w:cnfStyle w:val="000000000000" w:firstRow="0" w:lastRow="0" w:firstColumn="0" w:lastColumn="0" w:oddVBand="0" w:evenVBand="0" w:oddHBand="0" w:evenHBand="0" w:firstRowFirstColumn="0" w:firstRowLastColumn="0" w:lastRowFirstColumn="0" w:lastRowLastColumn="0"/>
            </w:pPr>
            <w:r w:rsidRPr="00CB5AE1">
              <w:t>Publication final report following second consultation + draft 2019 user agreement</w:t>
            </w:r>
          </w:p>
        </w:tc>
        <w:tc>
          <w:tcPr>
            <w:tcW w:w="0" w:type="auto"/>
          </w:tcPr>
          <w:p w14:paraId="151788BC" w14:textId="77777777" w:rsidR="009C3487" w:rsidRDefault="009C3487" w:rsidP="008810E7">
            <w:pPr>
              <w:spacing w:before="240" w:line="276" w:lineRule="auto"/>
              <w:cnfStyle w:val="000000000000" w:firstRow="0" w:lastRow="0" w:firstColumn="0" w:lastColumn="0" w:oddVBand="0" w:evenVBand="0" w:oddHBand="0" w:evenHBand="0" w:firstRowFirstColumn="0" w:firstRowLastColumn="0" w:lastRowFirstColumn="0" w:lastRowLastColumn="0"/>
            </w:pPr>
          </w:p>
        </w:tc>
      </w:tr>
      <w:tr w:rsidR="009C3487" w14:paraId="1A2F396B" w14:textId="77777777" w:rsidTr="008810E7">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975" w:type="dxa"/>
          </w:tcPr>
          <w:p w14:paraId="74FBBAB0" w14:textId="77777777" w:rsidR="009C3487" w:rsidRDefault="009C3487" w:rsidP="008810E7">
            <w:pPr>
              <w:spacing w:before="240" w:line="276" w:lineRule="auto"/>
            </w:pPr>
            <w:r>
              <w:t>Sun 20-Sep-2018</w:t>
            </w:r>
          </w:p>
        </w:tc>
        <w:tc>
          <w:tcPr>
            <w:tcW w:w="0" w:type="auto"/>
          </w:tcPr>
          <w:p w14:paraId="7835EC84" w14:textId="77777777" w:rsidR="009C3487" w:rsidRDefault="009C3487" w:rsidP="008810E7">
            <w:pPr>
              <w:spacing w:before="240" w:line="276" w:lineRule="auto"/>
              <w:cnfStyle w:val="000000100000" w:firstRow="0" w:lastRow="0" w:firstColumn="0" w:lastColumn="0" w:oddVBand="0" w:evenVBand="0" w:oddHBand="1" w:evenHBand="0" w:firstRowFirstColumn="0" w:firstRowLastColumn="0" w:lastRowFirstColumn="0" w:lastRowLastColumn="0"/>
            </w:pPr>
            <w:r w:rsidRPr="00CB5AE1">
              <w:t>Publication of finalised User Agreement</w:t>
            </w:r>
          </w:p>
        </w:tc>
        <w:tc>
          <w:tcPr>
            <w:tcW w:w="0" w:type="auto"/>
          </w:tcPr>
          <w:p w14:paraId="47BF8A73" w14:textId="77777777" w:rsidR="009C3487" w:rsidRDefault="009C3487" w:rsidP="008810E7">
            <w:pPr>
              <w:spacing w:before="240" w:line="276" w:lineRule="auto"/>
              <w:cnfStyle w:val="000000100000" w:firstRow="0" w:lastRow="0" w:firstColumn="0" w:lastColumn="0" w:oddVBand="0" w:evenVBand="0" w:oddHBand="1" w:evenHBand="0" w:firstRowFirstColumn="0" w:firstRowLastColumn="0" w:lastRowFirstColumn="0" w:lastRowLastColumn="0"/>
            </w:pPr>
          </w:p>
        </w:tc>
      </w:tr>
      <w:tr w:rsidR="009C3487" w14:paraId="3215798C" w14:textId="77777777" w:rsidTr="008810E7">
        <w:tc>
          <w:tcPr>
            <w:cnfStyle w:val="001000000000" w:firstRow="0" w:lastRow="0" w:firstColumn="1" w:lastColumn="0" w:oddVBand="0" w:evenVBand="0" w:oddHBand="0" w:evenHBand="0" w:firstRowFirstColumn="0" w:firstRowLastColumn="0" w:lastRowFirstColumn="0" w:lastRowLastColumn="0"/>
            <w:tcW w:w="1975" w:type="dxa"/>
          </w:tcPr>
          <w:p w14:paraId="20BA76F8" w14:textId="77777777" w:rsidR="009C3487" w:rsidRDefault="009C3487" w:rsidP="008810E7">
            <w:pPr>
              <w:spacing w:before="240" w:line="276" w:lineRule="auto"/>
            </w:pPr>
            <w:r>
              <w:t>Wed 05-Dec-2018</w:t>
            </w:r>
          </w:p>
        </w:tc>
        <w:tc>
          <w:tcPr>
            <w:tcW w:w="0" w:type="auto"/>
          </w:tcPr>
          <w:p w14:paraId="2C72CB4E" w14:textId="77777777" w:rsidR="009C3487" w:rsidRDefault="009C3487" w:rsidP="008810E7">
            <w:pPr>
              <w:spacing w:before="240" w:line="276" w:lineRule="auto"/>
              <w:cnfStyle w:val="000000000000" w:firstRow="0" w:lastRow="0" w:firstColumn="0" w:lastColumn="0" w:oddVBand="0" w:evenVBand="0" w:oddHBand="0" w:evenHBand="0" w:firstRowFirstColumn="0" w:firstRowLastColumn="0" w:lastRowFirstColumn="0" w:lastRowLastColumn="0"/>
            </w:pPr>
            <w:r w:rsidRPr="00CB5AE1">
              <w:t>Finalised 2019 costs + per user fees + # of users (per 2018 Charges Policy)</w:t>
            </w:r>
          </w:p>
        </w:tc>
        <w:tc>
          <w:tcPr>
            <w:tcW w:w="0" w:type="auto"/>
          </w:tcPr>
          <w:p w14:paraId="4AEE468D" w14:textId="77777777" w:rsidR="009C3487" w:rsidRDefault="009C3487" w:rsidP="008810E7">
            <w:pPr>
              <w:spacing w:before="240" w:line="276" w:lineRule="auto"/>
              <w:cnfStyle w:val="000000000000" w:firstRow="0" w:lastRow="0" w:firstColumn="0" w:lastColumn="0" w:oddVBand="0" w:evenVBand="0" w:oddHBand="0" w:evenHBand="0" w:firstRowFirstColumn="0" w:firstRowLastColumn="0" w:lastRowFirstColumn="0" w:lastRowLastColumn="0"/>
            </w:pPr>
          </w:p>
        </w:tc>
      </w:tr>
    </w:tbl>
    <w:p w14:paraId="7CE4C007" w14:textId="77777777" w:rsidR="000C3476" w:rsidRDefault="000C3476" w:rsidP="000C3476">
      <w:pPr>
        <w:spacing w:before="120" w:after="0" w:line="276" w:lineRule="auto"/>
      </w:pPr>
    </w:p>
    <w:p w14:paraId="6EA7DA61" w14:textId="77777777" w:rsidR="75828AE8" w:rsidRDefault="75828AE8" w:rsidP="75828AE8">
      <w:pPr>
        <w:spacing w:before="120" w:after="0" w:line="276" w:lineRule="auto"/>
      </w:pPr>
    </w:p>
    <w:p w14:paraId="3871B599" w14:textId="77777777" w:rsidR="00C36087" w:rsidRDefault="00C36087">
      <w:pPr>
        <w:rPr>
          <w:rFonts w:asciiTheme="majorHAnsi" w:eastAsiaTheme="majorEastAsia" w:hAnsiTheme="majorHAnsi" w:cstheme="majorBidi"/>
          <w:color w:val="2E74B5" w:themeColor="accent1" w:themeShade="BF"/>
          <w:sz w:val="26"/>
          <w:szCs w:val="26"/>
        </w:rPr>
      </w:pPr>
      <w:r>
        <w:br w:type="page"/>
      </w:r>
    </w:p>
    <w:p w14:paraId="7D5079E2" w14:textId="77777777" w:rsidR="008F2F1E" w:rsidRDefault="008F2F1E" w:rsidP="00765BA8">
      <w:pPr>
        <w:pStyle w:val="Heading2"/>
        <w:spacing w:line="276" w:lineRule="auto"/>
      </w:pPr>
      <w:bookmarkStart w:id="7" w:name="_Toc517783476"/>
      <w:bookmarkStart w:id="8" w:name="_Toc517969364"/>
      <w:r>
        <w:lastRenderedPageBreak/>
        <w:t>Principles</w:t>
      </w:r>
      <w:bookmarkEnd w:id="7"/>
      <w:bookmarkEnd w:id="8"/>
    </w:p>
    <w:p w14:paraId="1360C200" w14:textId="77777777" w:rsidR="00F7309E" w:rsidRDefault="00F7309E" w:rsidP="00765BA8">
      <w:pPr>
        <w:spacing w:line="276" w:lineRule="auto"/>
      </w:pPr>
      <w:r>
        <w:t>Below is a table with a brief statement</w:t>
      </w:r>
      <w:r w:rsidR="005048F6">
        <w:t xml:space="preserve"> on </w:t>
      </w:r>
      <w:r>
        <w:t xml:space="preserve">the four </w:t>
      </w:r>
      <w:r w:rsidR="000C3476">
        <w:t xml:space="preserve">key </w:t>
      </w:r>
      <w:r>
        <w:t xml:space="preserve">principles </w:t>
      </w:r>
      <w:r w:rsidR="000C3476">
        <w:t>relied on by the DSB in development of t</w:t>
      </w:r>
      <w:r>
        <w:t xml:space="preserve">he fee model.  </w:t>
      </w:r>
    </w:p>
    <w:tbl>
      <w:tblPr>
        <w:tblStyle w:val="GridTable5Dark-Accent5"/>
        <w:tblW w:w="0" w:type="auto"/>
        <w:tblLook w:val="0420" w:firstRow="1" w:lastRow="0" w:firstColumn="0" w:lastColumn="0" w:noHBand="0" w:noVBand="1"/>
      </w:tblPr>
      <w:tblGrid>
        <w:gridCol w:w="2547"/>
        <w:gridCol w:w="6469"/>
      </w:tblGrid>
      <w:tr w:rsidR="00F7309E" w14:paraId="3393ED4A" w14:textId="77777777" w:rsidTr="00F7309E">
        <w:trPr>
          <w:cnfStyle w:val="100000000000" w:firstRow="1" w:lastRow="0" w:firstColumn="0" w:lastColumn="0" w:oddVBand="0" w:evenVBand="0" w:oddHBand="0" w:evenHBand="0" w:firstRowFirstColumn="0" w:firstRowLastColumn="0" w:lastRowFirstColumn="0" w:lastRowLastColumn="0"/>
        </w:trPr>
        <w:tc>
          <w:tcPr>
            <w:tcW w:w="2547" w:type="dxa"/>
          </w:tcPr>
          <w:p w14:paraId="01FF26E3" w14:textId="77777777" w:rsidR="00F7309E" w:rsidRDefault="00F7309E" w:rsidP="00765BA8">
            <w:pPr>
              <w:spacing w:line="276" w:lineRule="auto"/>
            </w:pPr>
            <w:r>
              <w:t>Principle</w:t>
            </w:r>
          </w:p>
        </w:tc>
        <w:tc>
          <w:tcPr>
            <w:tcW w:w="6469" w:type="dxa"/>
          </w:tcPr>
          <w:p w14:paraId="34837E60" w14:textId="77777777" w:rsidR="00F7309E" w:rsidRDefault="00F7309E" w:rsidP="00765BA8">
            <w:pPr>
              <w:spacing w:line="276" w:lineRule="auto"/>
            </w:pPr>
            <w:r>
              <w:t>Brief Description</w:t>
            </w:r>
          </w:p>
        </w:tc>
      </w:tr>
      <w:tr w:rsidR="00F7309E" w14:paraId="06028C39" w14:textId="77777777" w:rsidTr="005048F6">
        <w:trPr>
          <w:cnfStyle w:val="000000100000" w:firstRow="0" w:lastRow="0" w:firstColumn="0" w:lastColumn="0" w:oddVBand="0" w:evenVBand="0" w:oddHBand="1" w:evenHBand="0" w:firstRowFirstColumn="0" w:firstRowLastColumn="0" w:lastRowFirstColumn="0" w:lastRowLastColumn="0"/>
          <w:trHeight w:val="3302"/>
        </w:trPr>
        <w:tc>
          <w:tcPr>
            <w:tcW w:w="2547" w:type="dxa"/>
          </w:tcPr>
          <w:p w14:paraId="4D02F424" w14:textId="77777777" w:rsidR="00F7309E" w:rsidRDefault="00F7309E" w:rsidP="00765BA8">
            <w:pPr>
              <w:spacing w:line="276" w:lineRule="auto"/>
            </w:pPr>
            <w:r>
              <w:t>Cost Recovery</w:t>
            </w:r>
          </w:p>
        </w:tc>
        <w:tc>
          <w:tcPr>
            <w:tcW w:w="6469" w:type="dxa"/>
          </w:tcPr>
          <w:p w14:paraId="055CF521" w14:textId="77777777" w:rsidR="00F7309E" w:rsidRDefault="00F7309E" w:rsidP="00765BA8">
            <w:pPr>
              <w:spacing w:line="276" w:lineRule="auto"/>
            </w:pPr>
            <w:r>
              <w:t>The DSB provide</w:t>
            </w:r>
            <w:r w:rsidR="00AE3DE2">
              <w:t xml:space="preserve">s </w:t>
            </w:r>
            <w:r>
              <w:t>numbering agency services on a cost recovery basis.</w:t>
            </w:r>
          </w:p>
          <w:p w14:paraId="5A34A39E" w14:textId="77777777" w:rsidR="00EF2993" w:rsidRPr="00686C30" w:rsidRDefault="00EF2993" w:rsidP="00765BA8">
            <w:pPr>
              <w:spacing w:line="276" w:lineRule="auto"/>
            </w:pPr>
            <w:r w:rsidRPr="00686C30">
              <w:t>From the DSB’s perspective, this means that the revenues must be sufficient to ensure that the numbering agency has the financial viability to meet its continuing obligation to provide these services.</w:t>
            </w:r>
          </w:p>
          <w:p w14:paraId="3075B9D1" w14:textId="77777777" w:rsidR="00EF2993" w:rsidRPr="00686C30" w:rsidRDefault="00EF2993" w:rsidP="00765BA8">
            <w:pPr>
              <w:spacing w:line="276" w:lineRule="auto"/>
            </w:pPr>
            <w:r w:rsidRPr="00686C30">
              <w:t xml:space="preserve">From the user perspective, it means that the payment for these services does not profit the owners of the utility beyond its maintenance as a financially viable entity. </w:t>
            </w:r>
          </w:p>
          <w:p w14:paraId="2F666377" w14:textId="77777777" w:rsidR="00EF2993" w:rsidRDefault="00EF2993" w:rsidP="00765BA8">
            <w:pPr>
              <w:spacing w:line="276" w:lineRule="auto"/>
            </w:pPr>
            <w:r w:rsidRPr="00686C30">
              <w:t>Furthermore, the funding model needs to be sustainable, which includes the need to be efficient and reliable</w:t>
            </w:r>
            <w:r>
              <w:t xml:space="preserve">. </w:t>
            </w:r>
          </w:p>
        </w:tc>
      </w:tr>
      <w:tr w:rsidR="00F7309E" w14:paraId="25CCE317" w14:textId="77777777" w:rsidTr="00860DFF">
        <w:trPr>
          <w:trHeight w:val="3088"/>
        </w:trPr>
        <w:tc>
          <w:tcPr>
            <w:tcW w:w="2547" w:type="dxa"/>
          </w:tcPr>
          <w:p w14:paraId="2ACA1ED4" w14:textId="77777777" w:rsidR="00F7309E" w:rsidRDefault="00F7309E" w:rsidP="00765BA8">
            <w:pPr>
              <w:spacing w:line="276" w:lineRule="auto"/>
            </w:pPr>
            <w:r>
              <w:t>Unrestricted Data</w:t>
            </w:r>
          </w:p>
        </w:tc>
        <w:tc>
          <w:tcPr>
            <w:tcW w:w="6469" w:type="dxa"/>
          </w:tcPr>
          <w:p w14:paraId="270D86BB" w14:textId="77777777" w:rsidR="005F009F" w:rsidRPr="00686C30" w:rsidRDefault="00F7309E" w:rsidP="00765BA8">
            <w:pPr>
              <w:spacing w:line="276" w:lineRule="auto"/>
            </w:pPr>
            <w:r>
              <w:t>The DSB intends that no data associated with the definition of an ISIN will have licensing restrictions dictating usage or distribution</w:t>
            </w:r>
            <w:r w:rsidR="005F009F" w:rsidRPr="00686C30">
              <w:t xml:space="preserve">. </w:t>
            </w:r>
          </w:p>
          <w:p w14:paraId="4CF673FF" w14:textId="77777777" w:rsidR="005F009F" w:rsidRDefault="005F009F" w:rsidP="00765BA8">
            <w:pPr>
              <w:spacing w:line="276" w:lineRule="auto"/>
            </w:pPr>
            <w:r w:rsidRPr="00686C30">
              <w:t>If the DSB Product Committee (</w:t>
            </w:r>
            <w:hyperlink r:id="rId11" w:history="1">
              <w:r w:rsidR="008F07FF" w:rsidRPr="00224C61">
                <w:rPr>
                  <w:rStyle w:val="Hyperlink"/>
                </w:rPr>
                <w:t>http://www.anna-web.org/dsb-product-committee/</w:t>
              </w:r>
            </w:hyperlink>
            <w:r w:rsidRPr="00686C30">
              <w:t>) determines that there is</w:t>
            </w:r>
            <w:r>
              <w:t xml:space="preserve"> </w:t>
            </w:r>
            <w:r w:rsidRPr="00686C30">
              <w:t>no viable alternative to the use of licensed or restricted data in a product definition, the DSB will review the impact to its Unrestricted Data policy at that time, taking into account the specific products and attributes that are impacted by the</w:t>
            </w:r>
            <w:r>
              <w:t xml:space="preserve"> </w:t>
            </w:r>
            <w:r w:rsidRPr="00686C30">
              <w:t>incorporation of licensed or restricted data in the product definitions.</w:t>
            </w:r>
          </w:p>
        </w:tc>
      </w:tr>
      <w:tr w:rsidR="00F7309E" w14:paraId="6C475069" w14:textId="77777777" w:rsidTr="00A80E80">
        <w:trPr>
          <w:cnfStyle w:val="000000100000" w:firstRow="0" w:lastRow="0" w:firstColumn="0" w:lastColumn="0" w:oddVBand="0" w:evenVBand="0" w:oddHBand="1" w:evenHBand="0" w:firstRowFirstColumn="0" w:firstRowLastColumn="0" w:lastRowFirstColumn="0" w:lastRowLastColumn="0"/>
          <w:trHeight w:val="1115"/>
        </w:trPr>
        <w:tc>
          <w:tcPr>
            <w:tcW w:w="2547" w:type="dxa"/>
          </w:tcPr>
          <w:p w14:paraId="4030C0F2" w14:textId="77777777" w:rsidR="00F7309E" w:rsidRDefault="00F7309E" w:rsidP="00765BA8">
            <w:pPr>
              <w:spacing w:line="276" w:lineRule="auto"/>
            </w:pPr>
            <w:r>
              <w:t>Open Access</w:t>
            </w:r>
          </w:p>
        </w:tc>
        <w:tc>
          <w:tcPr>
            <w:tcW w:w="6469" w:type="dxa"/>
          </w:tcPr>
          <w:p w14:paraId="2966EAB8" w14:textId="77777777" w:rsidR="00F7309E" w:rsidRDefault="00F7309E" w:rsidP="00765BA8">
            <w:pPr>
              <w:spacing w:line="276" w:lineRule="auto"/>
            </w:pPr>
            <w:r>
              <w:t xml:space="preserve">Access to the DSB archive for consumption of OTC derivative ISINs and associated reference data </w:t>
            </w:r>
            <w:r w:rsidR="00AE3DE2">
              <w:t xml:space="preserve">is </w:t>
            </w:r>
            <w:r>
              <w:t>available to all organizations and users.</w:t>
            </w:r>
          </w:p>
        </w:tc>
      </w:tr>
      <w:tr w:rsidR="00F7309E" w14:paraId="7FEEFB4B" w14:textId="77777777" w:rsidTr="00A80E80">
        <w:trPr>
          <w:trHeight w:val="2266"/>
        </w:trPr>
        <w:tc>
          <w:tcPr>
            <w:tcW w:w="2547" w:type="dxa"/>
          </w:tcPr>
          <w:p w14:paraId="06E4B57F" w14:textId="77777777" w:rsidR="00F7309E" w:rsidRDefault="00F7309E" w:rsidP="00765BA8">
            <w:pPr>
              <w:spacing w:line="276" w:lineRule="auto"/>
            </w:pPr>
            <w:r>
              <w:t>Payment in Advance</w:t>
            </w:r>
          </w:p>
        </w:tc>
        <w:tc>
          <w:tcPr>
            <w:tcW w:w="6469" w:type="dxa"/>
          </w:tcPr>
          <w:p w14:paraId="0F138B9A" w14:textId="77777777" w:rsidR="00F7309E" w:rsidRDefault="00F7309E" w:rsidP="00765BA8">
            <w:pPr>
              <w:spacing w:line="276" w:lineRule="auto"/>
            </w:pPr>
            <w:r>
              <w:t xml:space="preserve">To the extent possible, the DSB </w:t>
            </w:r>
            <w:r w:rsidR="00AE3DE2">
              <w:t xml:space="preserve">levies </w:t>
            </w:r>
            <w:r>
              <w:t xml:space="preserve">fees through annual contracts that require payment in advance. </w:t>
            </w:r>
          </w:p>
          <w:p w14:paraId="7BDF4AD7" w14:textId="77777777" w:rsidR="00A80E80" w:rsidRPr="00686C30" w:rsidRDefault="00A80E80" w:rsidP="00765BA8">
            <w:pPr>
              <w:spacing w:line="276" w:lineRule="auto"/>
            </w:pPr>
            <w:r w:rsidRPr="00686C30">
              <w:t xml:space="preserve">This advance yearly commitment offers the DSB more clarity in aligning fee levels with cost recovery. </w:t>
            </w:r>
          </w:p>
          <w:p w14:paraId="40470747" w14:textId="77777777" w:rsidR="00A80E80" w:rsidRDefault="00A80E80" w:rsidP="00765BA8">
            <w:pPr>
              <w:spacing w:line="276" w:lineRule="auto"/>
            </w:pPr>
            <w:r w:rsidRPr="00686C30">
              <w:t>For the users, it provides improved ability to forecast their costs for utilising ISIN services</w:t>
            </w:r>
          </w:p>
        </w:tc>
      </w:tr>
    </w:tbl>
    <w:p w14:paraId="0E2B578C" w14:textId="77777777" w:rsidR="002E6BEE" w:rsidRDefault="002E6BEE" w:rsidP="00765BA8">
      <w:pPr>
        <w:spacing w:line="276" w:lineRule="auto"/>
      </w:pPr>
    </w:p>
    <w:p w14:paraId="2FCA4D88" w14:textId="77777777" w:rsidR="004364A5" w:rsidRDefault="004364A5" w:rsidP="001D1C1B">
      <w:pPr>
        <w:spacing w:line="276" w:lineRule="auto"/>
        <w:rPr>
          <w:rFonts w:asciiTheme="majorHAnsi" w:eastAsiaTheme="majorEastAsia" w:hAnsiTheme="majorHAnsi" w:cstheme="majorBidi"/>
          <w:color w:val="2E74B5" w:themeColor="accent1" w:themeShade="BF"/>
          <w:sz w:val="26"/>
          <w:szCs w:val="26"/>
        </w:rPr>
      </w:pPr>
      <w:r>
        <w:br w:type="page"/>
      </w:r>
    </w:p>
    <w:p w14:paraId="7F0D32AB" w14:textId="77777777" w:rsidR="0075007B" w:rsidRDefault="006026A0" w:rsidP="00765BA8">
      <w:pPr>
        <w:pStyle w:val="Heading2"/>
        <w:spacing w:line="276" w:lineRule="auto"/>
      </w:pPr>
      <w:bookmarkStart w:id="9" w:name="_Toc517783477"/>
      <w:bookmarkStart w:id="10" w:name="_Toc517969365"/>
      <w:r>
        <w:lastRenderedPageBreak/>
        <w:t xml:space="preserve">Response </w:t>
      </w:r>
      <w:r w:rsidR="0075007B">
        <w:t>Highlights</w:t>
      </w:r>
      <w:bookmarkEnd w:id="9"/>
      <w:bookmarkEnd w:id="10"/>
      <w:r w:rsidR="00B0732E">
        <w:t xml:space="preserve"> </w:t>
      </w:r>
    </w:p>
    <w:p w14:paraId="385DC946" w14:textId="77777777" w:rsidR="00E10F68" w:rsidRDefault="006C0987" w:rsidP="0099054C">
      <w:pPr>
        <w:spacing w:before="240" w:line="276" w:lineRule="auto"/>
      </w:pPr>
      <w:r w:rsidRPr="00F6246A">
        <w:t xml:space="preserve">The responses received by the DSB highlighted </w:t>
      </w:r>
      <w:r w:rsidR="007231CD">
        <w:t>segmented</w:t>
      </w:r>
      <w:r w:rsidRPr="00F6246A">
        <w:t xml:space="preserve"> market needs, </w:t>
      </w:r>
      <w:r w:rsidR="007D18F8">
        <w:t xml:space="preserve">with a clear preference for a pay-to-play model amongst the users seeking additional functionality and/or services. </w:t>
      </w:r>
      <w:r w:rsidR="00E10F68">
        <w:t xml:space="preserve">The DSB aims to undertake further consultation as part of this document to determine appetite for providing such services </w:t>
      </w:r>
      <w:r w:rsidR="00105BCC">
        <w:t xml:space="preserve">and whether they should be provided </w:t>
      </w:r>
      <w:r w:rsidR="00E10F68">
        <w:t xml:space="preserve">outside the communal cost recovery ring-fence. Specifically, where such appetite exists, the DSB will be seeking to identify participants of a user forum that could investigate the design and deployment of proposals in more detail. </w:t>
      </w:r>
    </w:p>
    <w:p w14:paraId="00FF65B7" w14:textId="77777777" w:rsidR="006C0987" w:rsidRPr="00F6246A" w:rsidRDefault="006C0987" w:rsidP="0099054C">
      <w:pPr>
        <w:spacing w:before="240" w:line="276" w:lineRule="auto"/>
      </w:pPr>
      <w:r w:rsidRPr="00F6246A">
        <w:t xml:space="preserve">On matters involving DSB infrastructure, connectivity and disaster recovery, the DSB will work with the </w:t>
      </w:r>
      <w:hyperlink r:id="rId12" w:history="1">
        <w:r w:rsidRPr="009F7A9B">
          <w:rPr>
            <w:rStyle w:val="Hyperlink"/>
          </w:rPr>
          <w:t>Technology Advisory Committee</w:t>
        </w:r>
      </w:hyperlink>
      <w:r w:rsidR="007231CD">
        <w:t xml:space="preserve"> (TAC)</w:t>
      </w:r>
      <w:r w:rsidRPr="00F6246A">
        <w:t xml:space="preserve"> to obtain their views to ensure that the DSB remains aligned with market feedback as it progresses these items. </w:t>
      </w:r>
      <w:r w:rsidR="007231CD">
        <w:t xml:space="preserve">Feedback from the TAC will be incorporated within the final consultation report. </w:t>
      </w:r>
    </w:p>
    <w:p w14:paraId="60EDC471" w14:textId="36A845A9" w:rsidR="00CC2C95" w:rsidRDefault="00CC2C95" w:rsidP="0099054C">
      <w:pPr>
        <w:spacing w:before="240" w:after="240" w:line="276" w:lineRule="auto"/>
      </w:pPr>
      <w:r>
        <w:t>A reminder of the key questions posed, and an accompanying summary of responses is set out below, followed by</w:t>
      </w:r>
      <w:r w:rsidR="007476B2">
        <w:t xml:space="preserve"> a summary of feedback received, DSB decisions (where applicable) and</w:t>
      </w:r>
      <w:r>
        <w:t xml:space="preserve"> questions on each </w:t>
      </w:r>
      <w:r w:rsidR="007476B2">
        <w:t xml:space="preserve">open </w:t>
      </w:r>
      <w:r>
        <w:t xml:space="preserve">item.  For ease of reference, a summary of all open questions is provided in </w:t>
      </w:r>
      <w:hyperlink w:anchor="_Appendix_3_-" w:history="1">
        <w:r w:rsidR="00572120" w:rsidRPr="00572120">
          <w:rPr>
            <w:rStyle w:val="Hyperlink"/>
          </w:rPr>
          <w:t>appe</w:t>
        </w:r>
        <w:r w:rsidR="00572120" w:rsidRPr="00572120">
          <w:rPr>
            <w:rStyle w:val="Hyperlink"/>
          </w:rPr>
          <w:t>n</w:t>
        </w:r>
        <w:r w:rsidR="00572120" w:rsidRPr="00572120">
          <w:rPr>
            <w:rStyle w:val="Hyperlink"/>
          </w:rPr>
          <w:t>dix 3</w:t>
        </w:r>
      </w:hyperlink>
      <w:r w:rsidR="00572120">
        <w:t xml:space="preserve"> </w:t>
      </w:r>
      <w:r>
        <w:t xml:space="preserve">of this document. </w:t>
      </w:r>
    </w:p>
    <w:p w14:paraId="1C960E47" w14:textId="77777777" w:rsidR="00E24739" w:rsidRPr="00FD7EA7" w:rsidRDefault="00E24739" w:rsidP="0099054C">
      <w:pPr>
        <w:pStyle w:val="Heading3"/>
        <w:spacing w:line="276" w:lineRule="auto"/>
        <w:rPr>
          <w:b/>
        </w:rPr>
      </w:pPr>
      <w:bookmarkStart w:id="11" w:name="_Toc517783478"/>
      <w:bookmarkStart w:id="12" w:name="_Toc517969366"/>
      <w:r w:rsidRPr="00FD7EA7">
        <w:rPr>
          <w:b/>
        </w:rPr>
        <w:t>User Categorization and Fees:</w:t>
      </w:r>
      <w:bookmarkEnd w:id="11"/>
      <w:bookmarkEnd w:id="12"/>
    </w:p>
    <w:p w14:paraId="43AE75F6" w14:textId="77777777" w:rsidR="00CC2C95" w:rsidRPr="00FD7EA7" w:rsidRDefault="00D309BC" w:rsidP="0099054C">
      <w:pPr>
        <w:spacing w:before="120" w:after="80" w:line="276" w:lineRule="auto"/>
        <w:rPr>
          <w:u w:val="single"/>
        </w:rPr>
      </w:pPr>
      <w:r>
        <w:rPr>
          <w:u w:val="single"/>
        </w:rPr>
        <w:t>Synopsis of CP1 q</w:t>
      </w:r>
      <w:r w:rsidR="00CC2C95" w:rsidRPr="00FD7EA7">
        <w:rPr>
          <w:u w:val="single"/>
        </w:rPr>
        <w:t>uestions to industry and responses receiv</w:t>
      </w:r>
      <w:r w:rsidR="00FD7EA7" w:rsidRPr="00FD7EA7">
        <w:rPr>
          <w:u w:val="single"/>
        </w:rPr>
        <w:t>ed</w:t>
      </w:r>
      <w:r w:rsidR="00CC2C95" w:rsidRPr="00FD7EA7">
        <w:rPr>
          <w:u w:val="single"/>
        </w:rPr>
        <w:t>:</w:t>
      </w:r>
    </w:p>
    <w:p w14:paraId="16F032BD" w14:textId="77777777" w:rsidR="0049637D" w:rsidRDefault="0049637D" w:rsidP="0099054C">
      <w:pPr>
        <w:spacing w:after="80" w:line="276" w:lineRule="auto"/>
      </w:pPr>
      <w:r>
        <w:t xml:space="preserve">Q1. Do you agree with the proposed user categorization? </w:t>
      </w:r>
    </w:p>
    <w:p w14:paraId="17D7445F" w14:textId="77777777" w:rsidR="0049637D" w:rsidRDefault="0049637D" w:rsidP="0099054C">
      <w:pPr>
        <w:spacing w:after="80" w:line="276" w:lineRule="auto"/>
      </w:pPr>
      <w:r>
        <w:t xml:space="preserve">Q2. Do you concur with the proposed fee model? </w:t>
      </w:r>
    </w:p>
    <w:p w14:paraId="38669D78" w14:textId="77777777" w:rsidR="0049637D" w:rsidRDefault="0049637D" w:rsidP="0099054C">
      <w:pPr>
        <w:spacing w:after="80" w:line="276" w:lineRule="auto"/>
      </w:pPr>
      <w:r>
        <w:t xml:space="preserve">Q3. Should license terms vary for commercial intermediaries?  </w:t>
      </w:r>
    </w:p>
    <w:p w14:paraId="53B3DDD5" w14:textId="77777777" w:rsidR="0049637D" w:rsidRDefault="0049637D" w:rsidP="0099054C">
      <w:pPr>
        <w:spacing w:after="80" w:line="276" w:lineRule="auto"/>
      </w:pPr>
      <w:r>
        <w:t xml:space="preserve">Q4. Do you have work-flows requiring one-off connectivity? </w:t>
      </w:r>
    </w:p>
    <w:p w14:paraId="36521B08" w14:textId="77777777" w:rsidR="0049637D" w:rsidRDefault="0049637D" w:rsidP="0099054C">
      <w:pPr>
        <w:spacing w:after="80" w:line="276" w:lineRule="auto"/>
      </w:pPr>
      <w:r>
        <w:t xml:space="preserve">Q5. </w:t>
      </w:r>
      <w:r w:rsidR="00EF347D">
        <w:t>A</w:t>
      </w:r>
      <w:r>
        <w:t xml:space="preserve">dditional user categories or charging models </w:t>
      </w:r>
      <w:r w:rsidR="00EF347D">
        <w:t xml:space="preserve">that the DSB </w:t>
      </w:r>
      <w:r>
        <w:t xml:space="preserve">should evaluate? </w:t>
      </w:r>
    </w:p>
    <w:p w14:paraId="06E3D5E8" w14:textId="77777777" w:rsidR="0049637D" w:rsidRDefault="00EF347D" w:rsidP="0099054C">
      <w:pPr>
        <w:spacing w:line="276" w:lineRule="auto"/>
      </w:pPr>
      <w:r>
        <w:rPr>
          <w:noProof/>
        </w:rPr>
        <w:drawing>
          <wp:inline distT="0" distB="0" distL="0" distR="0" wp14:anchorId="7A5565AD" wp14:editId="392A9908">
            <wp:extent cx="5385816" cy="335584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85816" cy="3355848"/>
                    </a:xfrm>
                    <a:prstGeom prst="rect">
                      <a:avLst/>
                    </a:prstGeom>
                  </pic:spPr>
                </pic:pic>
              </a:graphicData>
            </a:graphic>
          </wp:inline>
        </w:drawing>
      </w:r>
    </w:p>
    <w:p w14:paraId="6D91CA25" w14:textId="77777777" w:rsidR="00C10D6D" w:rsidRPr="006D7562" w:rsidRDefault="00C10D6D" w:rsidP="00C30612">
      <w:pPr>
        <w:pStyle w:val="ListParagraph"/>
        <w:numPr>
          <w:ilvl w:val="0"/>
          <w:numId w:val="3"/>
        </w:numPr>
        <w:spacing w:after="120" w:line="276" w:lineRule="auto"/>
        <w:ind w:left="360" w:hanging="357"/>
        <w:contextualSpacing w:val="0"/>
      </w:pPr>
      <w:r w:rsidRPr="006D7562">
        <w:lastRenderedPageBreak/>
        <w:t xml:space="preserve">Whilst some </w:t>
      </w:r>
      <w:r w:rsidR="006635CD">
        <w:t xml:space="preserve">respondents </w:t>
      </w:r>
      <w:r w:rsidRPr="006D7562">
        <w:t xml:space="preserve">were ambivalent </w:t>
      </w:r>
      <w:r w:rsidR="00160F1A">
        <w:t>about</w:t>
      </w:r>
      <w:r w:rsidRPr="006D7562">
        <w:t xml:space="preserve"> the proposed user categorization and fee model, the general feedback was that</w:t>
      </w:r>
      <w:r w:rsidR="008C56F6">
        <w:t xml:space="preserve"> users should pay based on their utilization of the DSB’s </w:t>
      </w:r>
      <w:r w:rsidR="00AE59E2">
        <w:t xml:space="preserve">services and </w:t>
      </w:r>
      <w:r w:rsidR="008C56F6">
        <w:t xml:space="preserve">infrastructure and that the proposed </w:t>
      </w:r>
      <w:r w:rsidRPr="006D7562">
        <w:t xml:space="preserve">model should be </w:t>
      </w:r>
      <w:r w:rsidR="009C7D61">
        <w:t>simplified</w:t>
      </w:r>
      <w:r w:rsidR="008C56F6">
        <w:t xml:space="preserve"> where possible</w:t>
      </w:r>
      <w:r w:rsidR="00384849">
        <w:t xml:space="preserve">, </w:t>
      </w:r>
      <w:r w:rsidRPr="006D7562">
        <w:t xml:space="preserve">with mixed </w:t>
      </w:r>
      <w:r w:rsidR="001B412B">
        <w:t xml:space="preserve">views </w:t>
      </w:r>
      <w:r w:rsidRPr="006D7562">
        <w:t>on the accompanying detail</w:t>
      </w:r>
      <w:r w:rsidR="009C7D61">
        <w:t xml:space="preserve"> </w:t>
      </w:r>
    </w:p>
    <w:p w14:paraId="0D04D55F" w14:textId="77777777" w:rsidR="001F6B72" w:rsidRDefault="002D2490" w:rsidP="00C30612">
      <w:pPr>
        <w:pStyle w:val="ListParagraph"/>
        <w:numPr>
          <w:ilvl w:val="0"/>
          <w:numId w:val="3"/>
        </w:numPr>
        <w:spacing w:after="120" w:line="276" w:lineRule="auto"/>
        <w:ind w:left="360" w:hanging="357"/>
        <w:contextualSpacing w:val="0"/>
      </w:pPr>
      <w:r w:rsidRPr="006D7562">
        <w:t xml:space="preserve">Trading Venues and </w:t>
      </w:r>
      <w:r w:rsidR="006165E2">
        <w:t xml:space="preserve">some </w:t>
      </w:r>
      <w:r w:rsidRPr="006D7562">
        <w:t>Systematic Internaliser</w:t>
      </w:r>
      <w:r w:rsidR="006165E2">
        <w:t xml:space="preserve">s indicated </w:t>
      </w:r>
      <w:r w:rsidR="00520E3D" w:rsidRPr="006D7562">
        <w:t>that the DSB should not evolve towards a model that set user fees at</w:t>
      </w:r>
      <w:r w:rsidR="00105BCC">
        <w:t xml:space="preserve"> segment</w:t>
      </w:r>
      <w:r w:rsidR="00520E3D" w:rsidRPr="006D7562">
        <w:t xml:space="preserve"> </w:t>
      </w:r>
      <w:r w:rsidR="009F7A9B">
        <w:t>Market Identifier Code (</w:t>
      </w:r>
      <w:r w:rsidR="00520E3D" w:rsidRPr="006D7562">
        <w:t>MIC</w:t>
      </w:r>
      <w:r w:rsidR="009F7A9B">
        <w:t>)</w:t>
      </w:r>
      <w:r w:rsidR="00520E3D" w:rsidRPr="006D7562">
        <w:t xml:space="preserve"> level</w:t>
      </w:r>
      <w:r w:rsidR="00C94CDC">
        <w:t xml:space="preserve"> indicating segment MIC was not a true representation of separate platforms or that it </w:t>
      </w:r>
      <w:r w:rsidR="00C94CDC" w:rsidRPr="00C94CDC">
        <w:t>unfairly discriminate</w:t>
      </w:r>
      <w:r w:rsidR="00C94CDC">
        <w:t>s</w:t>
      </w:r>
      <w:r w:rsidR="00C94CDC" w:rsidRPr="00C94CDC">
        <w:t xml:space="preserve"> against </w:t>
      </w:r>
      <w:r w:rsidR="00C94CDC">
        <w:t>venues</w:t>
      </w:r>
      <w:r w:rsidR="00C94CDC" w:rsidRPr="00C94CDC">
        <w:t xml:space="preserve"> who, because of regulatory requirements, must separate their business amongst numerous entities.</w:t>
      </w:r>
      <w:r w:rsidR="00520E3D" w:rsidRPr="006D7562">
        <w:t xml:space="preserve"> </w:t>
      </w:r>
      <w:r w:rsidR="00C94CDC">
        <w:t>S</w:t>
      </w:r>
      <w:r w:rsidR="00520E3D" w:rsidRPr="006D7562">
        <w:t xml:space="preserve">ome proposals </w:t>
      </w:r>
      <w:r w:rsidR="00C94CDC">
        <w:t xml:space="preserve">went as far as </w:t>
      </w:r>
      <w:r w:rsidR="00520E3D" w:rsidRPr="006D7562">
        <w:t xml:space="preserve">suggesting that all </w:t>
      </w:r>
      <w:r w:rsidR="006165E2">
        <w:t xml:space="preserve">EU based </w:t>
      </w:r>
      <w:r w:rsidR="00520E3D" w:rsidRPr="006D7562">
        <w:t xml:space="preserve">MiFID </w:t>
      </w:r>
      <w:r w:rsidR="00F40930">
        <w:t>II</w:t>
      </w:r>
      <w:r w:rsidR="00520E3D" w:rsidRPr="006D7562">
        <w:t xml:space="preserve"> participants </w:t>
      </w:r>
      <w:r w:rsidR="00AE59E2">
        <w:t xml:space="preserve">should </w:t>
      </w:r>
      <w:r w:rsidR="00520E3D" w:rsidRPr="006D7562">
        <w:t xml:space="preserve">be required to pay DSB fees, irrespective of their need for </w:t>
      </w:r>
      <w:r w:rsidR="00AE59E2">
        <w:t xml:space="preserve">or consumption of </w:t>
      </w:r>
      <w:r w:rsidR="00520E3D" w:rsidRPr="006D7562">
        <w:t xml:space="preserve">OTC derivative ISIN </w:t>
      </w:r>
      <w:r w:rsidR="00A24DD4">
        <w:t>data</w:t>
      </w:r>
      <w:r w:rsidR="00763982">
        <w:t xml:space="preserve">. </w:t>
      </w:r>
    </w:p>
    <w:p w14:paraId="0D7A4E98" w14:textId="77777777" w:rsidR="00763982" w:rsidRDefault="00C94CDC" w:rsidP="001F6B72">
      <w:pPr>
        <w:pStyle w:val="ListParagraph"/>
        <w:spacing w:after="120" w:line="276" w:lineRule="auto"/>
        <w:ind w:left="360"/>
        <w:contextualSpacing w:val="0"/>
      </w:pPr>
      <w:r>
        <w:t>It is important to note that t</w:t>
      </w:r>
      <w:r w:rsidR="00763982">
        <w:t>he current fee model is designed to ensure that new and smaller market participants can reasonably access the services they need</w:t>
      </w:r>
      <w:r w:rsidR="0076358B">
        <w:t>.</w:t>
      </w:r>
      <w:r w:rsidR="00763982">
        <w:t xml:space="preserve"> Given the recent requests to also create a model that allows for </w:t>
      </w:r>
      <w:r w:rsidR="0083333F">
        <w:t xml:space="preserve">(a) trading venues that operate in multiple segments/markets and (b) </w:t>
      </w:r>
      <w:r w:rsidR="00763982">
        <w:t>more complex legal entity structures</w:t>
      </w:r>
      <w:r>
        <w:t xml:space="preserve"> such as group organisations</w:t>
      </w:r>
      <w:r w:rsidR="00763982">
        <w:t>, the DSB will be seeking industry guidance to identify model</w:t>
      </w:r>
      <w:r w:rsidR="0083333F">
        <w:t>s</w:t>
      </w:r>
      <w:r w:rsidR="00763982">
        <w:t xml:space="preserve"> that continue to serve the needs of user communities </w:t>
      </w:r>
      <w:r w:rsidR="0083333F">
        <w:t xml:space="preserve">both large and small. </w:t>
      </w:r>
    </w:p>
    <w:p w14:paraId="2825CFB9" w14:textId="77777777" w:rsidR="006F2FA8" w:rsidRDefault="00C4259E" w:rsidP="00C30612">
      <w:pPr>
        <w:pStyle w:val="ListParagraph"/>
        <w:numPr>
          <w:ilvl w:val="0"/>
          <w:numId w:val="3"/>
        </w:numPr>
        <w:spacing w:after="120" w:line="276" w:lineRule="auto"/>
        <w:ind w:left="360" w:hanging="357"/>
        <w:contextualSpacing w:val="0"/>
      </w:pPr>
      <w:r>
        <w:t xml:space="preserve">Several respondents suggested </w:t>
      </w:r>
      <w:r w:rsidR="00B670E6">
        <w:t xml:space="preserve">further rationalization of the fee model, including a proposal to </w:t>
      </w:r>
      <w:r>
        <w:t>streamlin</w:t>
      </w:r>
      <w:r w:rsidR="00B670E6">
        <w:t>e</w:t>
      </w:r>
      <w:r>
        <w:t xml:space="preserve"> the existing Standard User category to better address industry needs</w:t>
      </w:r>
      <w:r w:rsidR="00B670E6">
        <w:t>. However,</w:t>
      </w:r>
      <w:r>
        <w:t xml:space="preserve"> the </w:t>
      </w:r>
      <w:r w:rsidR="00290110">
        <w:t xml:space="preserve">implementation recommendations </w:t>
      </w:r>
      <w:r w:rsidR="00A24DD4">
        <w:t>were sometimes in conflict and tend</w:t>
      </w:r>
      <w:r w:rsidR="001B412B">
        <w:t xml:space="preserve">ed </w:t>
      </w:r>
      <w:r w:rsidR="00A24DD4">
        <w:t xml:space="preserve">to vary </w:t>
      </w:r>
      <w:r>
        <w:t>b</w:t>
      </w:r>
      <w:r w:rsidR="00A24DD4">
        <w:t xml:space="preserve">ased on </w:t>
      </w:r>
      <w:r>
        <w:t>the respondent’s role in the financial services arena</w:t>
      </w:r>
      <w:r w:rsidR="00F6487D">
        <w:t xml:space="preserve"> </w:t>
      </w:r>
    </w:p>
    <w:p w14:paraId="4D9EB004" w14:textId="77777777" w:rsidR="00C4259E" w:rsidRDefault="00BB0554" w:rsidP="00C30612">
      <w:pPr>
        <w:pStyle w:val="ListParagraph"/>
        <w:numPr>
          <w:ilvl w:val="0"/>
          <w:numId w:val="3"/>
        </w:numPr>
        <w:spacing w:after="120" w:line="276" w:lineRule="auto"/>
        <w:ind w:left="360" w:hanging="357"/>
        <w:contextualSpacing w:val="0"/>
      </w:pPr>
      <w:r>
        <w:t xml:space="preserve">User categorization </w:t>
      </w:r>
      <w:r w:rsidR="006F2FA8">
        <w:t>p</w:t>
      </w:r>
      <w:r w:rsidR="006165E2">
        <w:t xml:space="preserve">roposals included: </w:t>
      </w:r>
    </w:p>
    <w:p w14:paraId="5BD3720D" w14:textId="77777777" w:rsidR="006165E2" w:rsidRDefault="006165E2" w:rsidP="003E133F">
      <w:pPr>
        <w:pStyle w:val="ListParagraph"/>
        <w:numPr>
          <w:ilvl w:val="0"/>
          <w:numId w:val="37"/>
        </w:numPr>
        <w:spacing w:after="120" w:line="276" w:lineRule="auto"/>
        <w:contextualSpacing w:val="0"/>
      </w:pPr>
      <w:r>
        <w:t xml:space="preserve">a request for free programmatic search </w:t>
      </w:r>
      <w:r w:rsidRPr="006165E2">
        <w:rPr>
          <w:u w:val="single"/>
        </w:rPr>
        <w:t>and</w:t>
      </w:r>
      <w:r>
        <w:t xml:space="preserve"> a request to charge users for high-volume searches, with the latter designed to encourage additional participation in the fee model</w:t>
      </w:r>
    </w:p>
    <w:p w14:paraId="59CB4C71" w14:textId="77777777" w:rsidR="00BD2EF6" w:rsidRDefault="009C3487" w:rsidP="003E133F">
      <w:pPr>
        <w:pStyle w:val="ListParagraph"/>
        <w:numPr>
          <w:ilvl w:val="0"/>
          <w:numId w:val="37"/>
        </w:numPr>
        <w:spacing w:after="120" w:line="276" w:lineRule="auto"/>
        <w:contextualSpacing w:val="0"/>
      </w:pPr>
      <w:r>
        <w:t xml:space="preserve">reduce the number of user categories or at minimum not to expand these beyond the current segments </w:t>
      </w:r>
      <w:r w:rsidRPr="009C3487">
        <w:rPr>
          <w:u w:val="single"/>
        </w:rPr>
        <w:t>and</w:t>
      </w:r>
      <w:r>
        <w:t xml:space="preserve"> </w:t>
      </w:r>
      <w:r w:rsidR="00BD2EF6">
        <w:t>introduce a programmatic user category between the existing Standard and Power User categories</w:t>
      </w:r>
    </w:p>
    <w:p w14:paraId="67405E38" w14:textId="77777777" w:rsidR="006165E2" w:rsidRDefault="006165E2" w:rsidP="003E133F">
      <w:pPr>
        <w:pStyle w:val="ListParagraph"/>
        <w:numPr>
          <w:ilvl w:val="0"/>
          <w:numId w:val="37"/>
        </w:numPr>
        <w:spacing w:after="120" w:line="276" w:lineRule="auto"/>
        <w:contextualSpacing w:val="0"/>
      </w:pPr>
      <w:r>
        <w:t xml:space="preserve">retaining the existing Infrequent User category to enable low-cost participation in the ISIN creation process </w:t>
      </w:r>
      <w:r w:rsidRPr="006165E2">
        <w:rPr>
          <w:u w:val="single"/>
        </w:rPr>
        <w:t>and</w:t>
      </w:r>
      <w:r>
        <w:t xml:space="preserve"> a proposal to eliminate it by merging it with Registered User data, thus making up to 100 ISINs per year, per institution available for free </w:t>
      </w:r>
    </w:p>
    <w:p w14:paraId="2B6B7C03" w14:textId="77777777" w:rsidR="006165E2" w:rsidRDefault="006F2FA8" w:rsidP="003E133F">
      <w:pPr>
        <w:pStyle w:val="ListParagraph"/>
        <w:numPr>
          <w:ilvl w:val="0"/>
          <w:numId w:val="37"/>
        </w:numPr>
        <w:spacing w:after="120" w:line="276" w:lineRule="auto"/>
        <w:contextualSpacing w:val="0"/>
      </w:pPr>
      <w:r>
        <w:t xml:space="preserve">creating a user category that allowed </w:t>
      </w:r>
      <w:r w:rsidR="006165E2">
        <w:t>lower volume participants to benefit from direct, programmatic access to the DSB</w:t>
      </w:r>
      <w:r>
        <w:t xml:space="preserve"> </w:t>
      </w:r>
    </w:p>
    <w:p w14:paraId="5581479F" w14:textId="77777777" w:rsidR="00F6487D" w:rsidRDefault="00F6487D" w:rsidP="003E133F">
      <w:pPr>
        <w:pStyle w:val="ListParagraph"/>
        <w:numPr>
          <w:ilvl w:val="0"/>
          <w:numId w:val="37"/>
        </w:numPr>
        <w:spacing w:after="120" w:line="276" w:lineRule="auto"/>
        <w:contextualSpacing w:val="0"/>
      </w:pPr>
      <w:r>
        <w:t xml:space="preserve">a request to be able to </w:t>
      </w:r>
      <w:r w:rsidR="009C3487">
        <w:t xml:space="preserve">programmatically </w:t>
      </w:r>
      <w:r>
        <w:t>access DSB data free of cost to</w:t>
      </w:r>
      <w:r w:rsidR="009C3487">
        <w:t xml:space="preserve"> address the respondent’s concerns about</w:t>
      </w:r>
      <w:r>
        <w:t xml:space="preserve"> APA transparency data </w:t>
      </w:r>
    </w:p>
    <w:p w14:paraId="5BA57201" w14:textId="77777777" w:rsidR="00AE59E2" w:rsidRDefault="00AE59E2" w:rsidP="00C30612">
      <w:pPr>
        <w:pStyle w:val="ListParagraph"/>
        <w:numPr>
          <w:ilvl w:val="0"/>
          <w:numId w:val="3"/>
        </w:numPr>
        <w:spacing w:after="120" w:line="276" w:lineRule="auto"/>
        <w:ind w:left="360" w:hanging="357"/>
        <w:contextualSpacing w:val="0"/>
      </w:pPr>
      <w:r>
        <w:t xml:space="preserve">Whilst some users felt that the needs of intermediaries needed specific </w:t>
      </w:r>
      <w:r w:rsidR="00105BCC">
        <w:t xml:space="preserve">agreement </w:t>
      </w:r>
      <w:r>
        <w:t>terms, general feedback focused on ensuring technology intermediaries continued to facilitate access free o</w:t>
      </w:r>
      <w:r w:rsidR="00E2348D">
        <w:t>f cost</w:t>
      </w:r>
    </w:p>
    <w:p w14:paraId="751388FF" w14:textId="77777777" w:rsidR="00520E3D" w:rsidRDefault="00520E3D" w:rsidP="00C30612">
      <w:pPr>
        <w:pStyle w:val="ListParagraph"/>
        <w:numPr>
          <w:ilvl w:val="0"/>
          <w:numId w:val="3"/>
        </w:numPr>
        <w:spacing w:after="120" w:line="276" w:lineRule="auto"/>
        <w:ind w:left="360" w:hanging="357"/>
        <w:contextualSpacing w:val="0"/>
      </w:pPr>
      <w:r w:rsidRPr="006D7562">
        <w:t xml:space="preserve">Some respondents requested additional details about </w:t>
      </w:r>
      <w:r w:rsidR="00E2348D">
        <w:t xml:space="preserve">the DSB’s </w:t>
      </w:r>
      <w:r w:rsidRPr="006D7562">
        <w:t>costs accompanied by other financial and audit details to provide fee paying institutions with greater transparency</w:t>
      </w:r>
    </w:p>
    <w:p w14:paraId="097B896A" w14:textId="77777777" w:rsidR="00A02DEC" w:rsidRPr="00443E63" w:rsidRDefault="00A02DEC" w:rsidP="00443E63">
      <w:pPr>
        <w:spacing w:before="120" w:after="80" w:line="276" w:lineRule="auto"/>
        <w:rPr>
          <w:u w:val="single"/>
        </w:rPr>
      </w:pPr>
      <w:r w:rsidRPr="000B5C16">
        <w:rPr>
          <w:u w:val="single"/>
        </w:rPr>
        <w:lastRenderedPageBreak/>
        <w:t>DSB Decision</w:t>
      </w:r>
      <w:r w:rsidR="00E24739" w:rsidRPr="00443E63">
        <w:rPr>
          <w:u w:val="single"/>
        </w:rPr>
        <w:t xml:space="preserve">: </w:t>
      </w:r>
    </w:p>
    <w:p w14:paraId="635354D6" w14:textId="77777777" w:rsidR="0083333F" w:rsidRDefault="00A852E3" w:rsidP="00BD5583">
      <w:pPr>
        <w:pStyle w:val="ListParagraph"/>
        <w:numPr>
          <w:ilvl w:val="0"/>
          <w:numId w:val="8"/>
        </w:numPr>
        <w:spacing w:after="80" w:line="276" w:lineRule="auto"/>
        <w:contextualSpacing w:val="0"/>
      </w:pPr>
      <w:bookmarkStart w:id="13" w:name="_Ref517874943"/>
      <w:r>
        <w:t xml:space="preserve">Seek industry </w:t>
      </w:r>
      <w:r w:rsidR="007409F8">
        <w:t xml:space="preserve">guidance on alternative models to the segment level MIC based fee structure proposed by the DSB. Please note that any alternative model must not put smaller users at an unintentional disadvantage. </w:t>
      </w:r>
    </w:p>
    <w:p w14:paraId="0EEA91D4" w14:textId="77777777" w:rsidR="0083333F" w:rsidRDefault="0083333F" w:rsidP="003E133F">
      <w:pPr>
        <w:pStyle w:val="ListParagraph"/>
        <w:spacing w:after="80" w:line="276" w:lineRule="auto"/>
        <w:ind w:left="360"/>
        <w:contextualSpacing w:val="0"/>
      </w:pPr>
      <w:r>
        <w:t xml:space="preserve">It is important to note that the proposed </w:t>
      </w:r>
      <w:r w:rsidR="00105BCC">
        <w:t xml:space="preserve">segment </w:t>
      </w:r>
      <w:r w:rsidR="001D3B47">
        <w:t xml:space="preserve">level </w:t>
      </w:r>
      <w:r>
        <w:t xml:space="preserve">MIC fee model is designed </w:t>
      </w:r>
      <w:r w:rsidR="00E82793">
        <w:t>to set fees at a level that can be objectively validated against a publicly available dataset (</w:t>
      </w:r>
      <w:r w:rsidR="00105BCC">
        <w:t xml:space="preserve">such as </w:t>
      </w:r>
      <w:r w:rsidR="00E82793">
        <w:t>FIRDS</w:t>
      </w:r>
      <w:r w:rsidR="00501185">
        <w:t xml:space="preserve"> – which contains segment level MICs</w:t>
      </w:r>
      <w:r w:rsidR="00E82793">
        <w:t xml:space="preserve">), whilst ensuring that new and/or smaller institutions are not required to fulfil the same fee requirements as </w:t>
      </w:r>
      <w:r>
        <w:t>trading venues who</w:t>
      </w:r>
      <w:r w:rsidRPr="00C94CDC">
        <w:t>, because of regulatory requirements, must separate their business amongst numerous entities.</w:t>
      </w:r>
    </w:p>
    <w:bookmarkEnd w:id="13"/>
    <w:p w14:paraId="57E91DB3" w14:textId="77777777" w:rsidR="00E82793" w:rsidRDefault="00E82793" w:rsidP="00BD5583">
      <w:pPr>
        <w:pStyle w:val="ListParagraph"/>
        <w:spacing w:after="80" w:line="276" w:lineRule="auto"/>
        <w:ind w:left="360"/>
        <w:contextualSpacing w:val="0"/>
      </w:pPr>
      <w:r>
        <w:t xml:space="preserve">The proposed model aims to ensure that a small credit institution or retail bank is not required to pay the same fees as a large derivatives market maker or similarly, that a small, single </w:t>
      </w:r>
      <w:r w:rsidR="0056597B">
        <w:t>market</w:t>
      </w:r>
      <w:r>
        <w:t xml:space="preserve"> trading venue is not required to </w:t>
      </w:r>
      <w:r w:rsidRPr="00A709EB">
        <w:t>pay the same fees as a multi-</w:t>
      </w:r>
      <w:r w:rsidR="0056597B">
        <w:t>market</w:t>
      </w:r>
      <w:r w:rsidRPr="00A709EB">
        <w:t xml:space="preserve"> trading venue.</w:t>
      </w:r>
    </w:p>
    <w:p w14:paraId="252531E6" w14:textId="77777777" w:rsidR="0083333F" w:rsidRDefault="0083333F" w:rsidP="0083333F">
      <w:pPr>
        <w:pStyle w:val="ListParagraph"/>
        <w:numPr>
          <w:ilvl w:val="0"/>
          <w:numId w:val="8"/>
        </w:numPr>
        <w:spacing w:after="80" w:line="276" w:lineRule="auto"/>
        <w:contextualSpacing w:val="0"/>
      </w:pPr>
      <w:bookmarkStart w:id="14" w:name="_Ref517887412"/>
      <w:r>
        <w:t>Seek industry guidance on alternative fee structure to address the specific needs of multi-faceted organizations (e.g. a holding company with each of sell-side, buy-side and data vendor businesses or with multiple trading venues) to apply as a single user type whilst ensuring that new and smaller market participants can continue to access the services they currently utilize without being economically disadvantaged at a higher price point.</w:t>
      </w:r>
      <w:bookmarkEnd w:id="14"/>
      <w:r>
        <w:t xml:space="preserve">  </w:t>
      </w:r>
    </w:p>
    <w:p w14:paraId="1EF7FE2D" w14:textId="77777777" w:rsidR="00CE0ABF" w:rsidRDefault="00816F84" w:rsidP="00BD5583">
      <w:pPr>
        <w:pStyle w:val="ListParagraph"/>
        <w:numPr>
          <w:ilvl w:val="0"/>
          <w:numId w:val="8"/>
        </w:numPr>
        <w:spacing w:after="80" w:line="276" w:lineRule="auto"/>
        <w:contextualSpacing w:val="0"/>
      </w:pPr>
      <w:r>
        <w:t>Considering</w:t>
      </w:r>
      <w:r w:rsidR="004C310F">
        <w:t xml:space="preserve"> </w:t>
      </w:r>
      <w:r w:rsidR="0083333F">
        <w:t xml:space="preserve">the overwhelming </w:t>
      </w:r>
      <w:r w:rsidR="004C310F">
        <w:t xml:space="preserve">industry feedback </w:t>
      </w:r>
      <w:r w:rsidR="0083333F">
        <w:t xml:space="preserve">for the DSB </w:t>
      </w:r>
      <w:r w:rsidR="000830CA">
        <w:t>to reduce</w:t>
      </w:r>
      <w:r w:rsidR="0083333F">
        <w:t>,</w:t>
      </w:r>
      <w:r w:rsidR="000830CA">
        <w:t xml:space="preserve"> or at minimum, hold steady the number of user categories </w:t>
      </w:r>
      <w:r w:rsidR="004C310F">
        <w:t>(</w:t>
      </w:r>
      <w:r w:rsidR="00CE0ABF">
        <w:t>in particular, from</w:t>
      </w:r>
      <w:r w:rsidR="004C310F">
        <w:t xml:space="preserve"> trade associations), the DSB</w:t>
      </w:r>
      <w:r w:rsidR="0083333F">
        <w:t xml:space="preserve"> proposes to </w:t>
      </w:r>
      <w:r w:rsidR="004C310F">
        <w:t xml:space="preserve">retain the </w:t>
      </w:r>
      <w:r w:rsidR="00015474">
        <w:t xml:space="preserve">current user </w:t>
      </w:r>
      <w:r w:rsidR="00E82793">
        <w:t>categorization</w:t>
      </w:r>
      <w:r w:rsidR="00675241">
        <w:t xml:space="preserve"> and </w:t>
      </w:r>
      <w:r w:rsidR="00F4559A">
        <w:t xml:space="preserve">fee </w:t>
      </w:r>
      <w:r w:rsidR="00015474">
        <w:t>model</w:t>
      </w:r>
      <w:r w:rsidR="00E82793">
        <w:t xml:space="preserve">, </w:t>
      </w:r>
      <w:r w:rsidR="00CE0ABF">
        <w:t>except for</w:t>
      </w:r>
      <w:r w:rsidR="00E82793">
        <w:t xml:space="preserve"> the </w:t>
      </w:r>
      <w:r w:rsidR="00BA5338">
        <w:t>open item</w:t>
      </w:r>
      <w:r w:rsidR="0083333F">
        <w:t>s</w:t>
      </w:r>
      <w:r w:rsidR="00BA5338">
        <w:t xml:space="preserve"> listed </w:t>
      </w:r>
      <w:r w:rsidR="0083333F">
        <w:t xml:space="preserve">in (a) and (b) </w:t>
      </w:r>
      <w:r w:rsidR="00BA5338">
        <w:t>abov</w:t>
      </w:r>
      <w:r w:rsidR="007409F8">
        <w:t xml:space="preserve">e. </w:t>
      </w:r>
    </w:p>
    <w:p w14:paraId="2ADED1FA" w14:textId="77777777" w:rsidR="00766D9F" w:rsidRDefault="0083333F" w:rsidP="003E133F">
      <w:pPr>
        <w:pStyle w:val="ListParagraph"/>
        <w:spacing w:after="80" w:line="276" w:lineRule="auto"/>
        <w:ind w:left="360"/>
        <w:contextualSpacing w:val="0"/>
      </w:pPr>
      <w:r>
        <w:t xml:space="preserve">The DSB is conscious of specific feedback from some respondents seeking for an expansion of the user categories </w:t>
      </w:r>
      <w:r w:rsidR="00DB6E6C">
        <w:t xml:space="preserve">so </w:t>
      </w:r>
      <w:r>
        <w:t xml:space="preserve">that greater segmentation could be provided between heavy and lower volume programmatic users. </w:t>
      </w:r>
      <w:r w:rsidR="00766D9F">
        <w:t xml:space="preserve">It is likely that the solution for (b) above may alleviate these concerns and recognizes that further discussion can be taken up within the user forums proposed later in this document. </w:t>
      </w:r>
    </w:p>
    <w:p w14:paraId="412A1E31" w14:textId="77777777" w:rsidR="00E20FEF" w:rsidRDefault="00E20FEF" w:rsidP="00BD5583">
      <w:pPr>
        <w:pStyle w:val="ListParagraph"/>
        <w:numPr>
          <w:ilvl w:val="0"/>
          <w:numId w:val="8"/>
        </w:numPr>
        <w:spacing w:after="80" w:line="276" w:lineRule="auto"/>
        <w:contextualSpacing w:val="0"/>
      </w:pPr>
      <w:r>
        <w:t>Seek further feedback from industry on the question about terms for intermediaries (ref. section 2.</w:t>
      </w:r>
      <w:r w:rsidR="00E82793">
        <w:t>2.5</w:t>
      </w:r>
      <w:r>
        <w:t xml:space="preserve">) </w:t>
      </w:r>
    </w:p>
    <w:p w14:paraId="07D50463" w14:textId="77777777" w:rsidR="006D7562" w:rsidRDefault="00551767" w:rsidP="00BD5583">
      <w:pPr>
        <w:pStyle w:val="ListParagraph"/>
        <w:numPr>
          <w:ilvl w:val="0"/>
          <w:numId w:val="8"/>
        </w:numPr>
        <w:spacing w:after="80" w:line="276" w:lineRule="auto"/>
        <w:contextualSpacing w:val="0"/>
      </w:pPr>
      <w:r>
        <w:t>Publish audited f</w:t>
      </w:r>
      <w:r w:rsidR="00520E3D">
        <w:t>inancial accounts following the DSB’s first full year of operation</w:t>
      </w:r>
      <w:r w:rsidR="006D7562">
        <w:t xml:space="preserve">. An overview of the cost base underlying 2017-18 Invoicing Period </w:t>
      </w:r>
      <w:r w:rsidR="005E0688">
        <w:t xml:space="preserve">is provided </w:t>
      </w:r>
      <w:r w:rsidR="006D7562">
        <w:t xml:space="preserve">in appendix 1 of this document </w:t>
      </w:r>
    </w:p>
    <w:p w14:paraId="1216017D" w14:textId="77777777" w:rsidR="000B5C16" w:rsidRDefault="00501185" w:rsidP="00BD5583">
      <w:pPr>
        <w:pStyle w:val="ListParagraph"/>
        <w:numPr>
          <w:ilvl w:val="0"/>
          <w:numId w:val="8"/>
        </w:numPr>
        <w:spacing w:after="80" w:line="276" w:lineRule="auto"/>
        <w:contextualSpacing w:val="0"/>
      </w:pPr>
      <w:r>
        <w:t xml:space="preserve">The DSB’s governance model requires that an independent consultancy review the functioning of the DSB on an annual basis. The DSB’s aims to make available </w:t>
      </w:r>
      <w:r w:rsidR="00BF2B55">
        <w:t>the ISAE</w:t>
      </w:r>
      <w:r w:rsidR="004B08C6">
        <w:t>3402</w:t>
      </w:r>
      <w:r w:rsidR="006D7562" w:rsidRPr="006D7562">
        <w:t xml:space="preserve"> report of the </w:t>
      </w:r>
      <w:r w:rsidR="00551767">
        <w:t>third-party as</w:t>
      </w:r>
      <w:r>
        <w:t xml:space="preserve">surance audit to users </w:t>
      </w:r>
      <w:r w:rsidR="00C946D3">
        <w:t>once completed</w:t>
      </w:r>
    </w:p>
    <w:p w14:paraId="7143E2BD" w14:textId="77777777" w:rsidR="00CC0FEF" w:rsidRDefault="00CC0FEF" w:rsidP="00CC0FEF">
      <w:pPr>
        <w:pStyle w:val="ListParagraph"/>
        <w:spacing w:after="80" w:line="276" w:lineRule="auto"/>
        <w:ind w:left="714"/>
        <w:contextualSpacing w:val="0"/>
      </w:pPr>
    </w:p>
    <w:p w14:paraId="545E4DB1" w14:textId="77777777" w:rsidR="0076446D" w:rsidRPr="000B5C16" w:rsidRDefault="0076446D" w:rsidP="00443E63">
      <w:pPr>
        <w:spacing w:before="120" w:after="80" w:line="276" w:lineRule="auto"/>
        <w:rPr>
          <w:u w:val="single"/>
        </w:rPr>
      </w:pPr>
      <w:r w:rsidRPr="000B5C16">
        <w:rPr>
          <w:u w:val="single"/>
        </w:rPr>
        <w:t>Questions for industry</w:t>
      </w:r>
    </w:p>
    <w:p w14:paraId="40D761D5" w14:textId="1AC5AE11" w:rsidR="000F1A13" w:rsidRDefault="000F1A13" w:rsidP="003E133F">
      <w:pPr>
        <w:pStyle w:val="ListParagraph"/>
        <w:numPr>
          <w:ilvl w:val="0"/>
          <w:numId w:val="29"/>
        </w:numPr>
        <w:spacing w:line="276" w:lineRule="auto"/>
        <w:contextualSpacing w:val="0"/>
      </w:pPr>
      <w:r>
        <w:t xml:space="preserve">What </w:t>
      </w:r>
      <w:r w:rsidR="00D8643C">
        <w:t xml:space="preserve">specific and objectively verifiable </w:t>
      </w:r>
      <w:r>
        <w:t xml:space="preserve">models (if any) are you able to propose that reasonably address the </w:t>
      </w:r>
      <w:r w:rsidR="00D8643C">
        <w:t>needs of multi-segment and/or multi-market trading venues</w:t>
      </w:r>
      <w:r>
        <w:t xml:space="preserve">, whilst not placing an adverse cost on new or smaller market participants (refer to 2.2.1 </w:t>
      </w:r>
      <w:r>
        <w:fldChar w:fldCharType="begin"/>
      </w:r>
      <w:r>
        <w:instrText xml:space="preserve"> REF _Ref517874943 \r \h </w:instrText>
      </w:r>
      <w:r w:rsidR="00652C49">
        <w:instrText xml:space="preserve"> \* MERGEFORMAT </w:instrText>
      </w:r>
      <w:r>
        <w:fldChar w:fldCharType="separate"/>
      </w:r>
      <w:r w:rsidR="00710053">
        <w:t>a)</w:t>
      </w:r>
      <w:r>
        <w:fldChar w:fldCharType="end"/>
      </w:r>
      <w:r>
        <w:t xml:space="preserve">? </w:t>
      </w:r>
    </w:p>
    <w:p w14:paraId="21D0FCC0" w14:textId="77777777" w:rsidR="00D8643C" w:rsidRDefault="00D8643C" w:rsidP="003E133F">
      <w:pPr>
        <w:pStyle w:val="ListParagraph"/>
        <w:spacing w:line="276" w:lineRule="auto"/>
        <w:ind w:left="360"/>
        <w:contextualSpacing w:val="0"/>
      </w:pPr>
      <w:r>
        <w:t xml:space="preserve">It is important to note that the proposed </w:t>
      </w:r>
      <w:r w:rsidR="00DB6E6C">
        <w:t xml:space="preserve">segment </w:t>
      </w:r>
      <w:r>
        <w:t>MIC level fee model is designed to set fees at a level that can be objectively validated against a publicly available dataset (</w:t>
      </w:r>
      <w:r w:rsidR="00DB6E6C">
        <w:t xml:space="preserve">such as </w:t>
      </w:r>
      <w:r>
        <w:t xml:space="preserve">FIRDS – </w:t>
      </w:r>
      <w:r>
        <w:lastRenderedPageBreak/>
        <w:t>which contains segment level MICs), whilst ensuring that new and/or smaller institutions are not required to fulfil the same fee requirements as trading venues who</w:t>
      </w:r>
      <w:r w:rsidRPr="00C94CDC">
        <w:t>, because of regulatory requirements, must separate their business amongst numerous entities.</w:t>
      </w:r>
    </w:p>
    <w:p w14:paraId="697D1974" w14:textId="77777777" w:rsidR="00D8643C" w:rsidRDefault="00D8643C" w:rsidP="003E133F">
      <w:pPr>
        <w:spacing w:line="276" w:lineRule="auto"/>
        <w:ind w:left="360"/>
      </w:pPr>
      <w:r>
        <w:t xml:space="preserve">The proposed model aims to ensure that a small credit institution or retail bank is not required to pay the same fees as a large derivatives market maker or similarly, that a small, single market trading venue is not required to </w:t>
      </w:r>
      <w:r w:rsidRPr="00A709EB">
        <w:t>pay the same fees as a multi-</w:t>
      </w:r>
      <w:r>
        <w:t>market</w:t>
      </w:r>
      <w:r w:rsidRPr="00A709EB">
        <w:t xml:space="preserve"> trading venue.</w:t>
      </w:r>
      <w:r>
        <w:t xml:space="preserve"> It is likely </w:t>
      </w:r>
      <w:r w:rsidR="00256F73">
        <w:t>that a LEI level model (as proposed by some respondents) will place smaller users of the DSB at a significant cost disadvantage</w:t>
      </w:r>
      <w:r>
        <w:t xml:space="preserve">. </w:t>
      </w:r>
    </w:p>
    <w:p w14:paraId="7F4670D2" w14:textId="77777777" w:rsidR="00C9051C" w:rsidRDefault="00C9051C" w:rsidP="003E133F">
      <w:pPr>
        <w:spacing w:line="276" w:lineRule="auto"/>
      </w:pPr>
    </w:p>
    <w:p w14:paraId="4C6327E4" w14:textId="7C08B596" w:rsidR="00D8643C" w:rsidRDefault="00D8643C" w:rsidP="003E133F">
      <w:pPr>
        <w:pStyle w:val="ListParagraph"/>
        <w:numPr>
          <w:ilvl w:val="0"/>
          <w:numId w:val="29"/>
        </w:numPr>
        <w:spacing w:line="276" w:lineRule="auto"/>
        <w:contextualSpacing w:val="0"/>
      </w:pPr>
      <w:r>
        <w:t xml:space="preserve">What specific and objectively verifiable models (if any) are you able to propose that reasonably address the needs of complex, multi-faceted organizations whilst ensuring that new and smaller market participants can continue to access the services they currently utilize without being economically disadvantaged at a higher price point. (refer to2.2.1 </w:t>
      </w:r>
      <w:r>
        <w:fldChar w:fldCharType="begin"/>
      </w:r>
      <w:r>
        <w:instrText xml:space="preserve"> REF _Ref517887412 \r \h </w:instrText>
      </w:r>
      <w:r w:rsidR="00652C49">
        <w:instrText xml:space="preserve"> \* MERGEFORMAT </w:instrText>
      </w:r>
      <w:r>
        <w:fldChar w:fldCharType="separate"/>
      </w:r>
      <w:r w:rsidR="00710053">
        <w:t>b)</w:t>
      </w:r>
      <w:r>
        <w:fldChar w:fldCharType="end"/>
      </w:r>
      <w:r>
        <w:t xml:space="preserve"> above)? </w:t>
      </w:r>
    </w:p>
    <w:p w14:paraId="12FE3C8F" w14:textId="77777777" w:rsidR="00D8643C" w:rsidRDefault="00D8643C" w:rsidP="003E133F">
      <w:pPr>
        <w:pStyle w:val="ListParagraph"/>
        <w:spacing w:line="276" w:lineRule="auto"/>
        <w:ind w:left="360"/>
        <w:contextualSpacing w:val="0"/>
      </w:pPr>
      <w:r>
        <w:t xml:space="preserve">The proposed model aims to ensure that a small credit institution or retail bank is not required to pay the same fees as a large derivatives market maker or similarly, that a small, single market trading venue is not required to </w:t>
      </w:r>
      <w:r w:rsidRPr="00A709EB">
        <w:t>pay the same fees as a multi-</w:t>
      </w:r>
      <w:r>
        <w:t>market</w:t>
      </w:r>
      <w:r w:rsidRPr="00A709EB">
        <w:t xml:space="preserve"> trading venue.</w:t>
      </w:r>
    </w:p>
    <w:p w14:paraId="3E65EE8D" w14:textId="77777777" w:rsidR="00D8643C" w:rsidRPr="00A709EB" w:rsidRDefault="00D8643C" w:rsidP="00BD5583">
      <w:pPr>
        <w:spacing w:after="120" w:line="276" w:lineRule="auto"/>
        <w:ind w:left="360"/>
      </w:pPr>
    </w:p>
    <w:p w14:paraId="677D5E54" w14:textId="77777777" w:rsidR="00A709EB" w:rsidRDefault="00A709EB" w:rsidP="00A709EB">
      <w:pPr>
        <w:spacing w:after="120" w:line="276" w:lineRule="auto"/>
      </w:pPr>
    </w:p>
    <w:p w14:paraId="4F98A4D1" w14:textId="77777777" w:rsidR="003A2D93" w:rsidRDefault="003A2D93">
      <w:pPr>
        <w:rPr>
          <w:rFonts w:asciiTheme="majorHAnsi" w:eastAsiaTheme="majorEastAsia" w:hAnsiTheme="majorHAnsi" w:cstheme="majorBidi"/>
          <w:b/>
          <w:color w:val="1F4D78" w:themeColor="accent1" w:themeShade="7F"/>
          <w:sz w:val="24"/>
          <w:szCs w:val="24"/>
        </w:rPr>
      </w:pPr>
      <w:r>
        <w:rPr>
          <w:b/>
        </w:rPr>
        <w:br w:type="page"/>
      </w:r>
    </w:p>
    <w:p w14:paraId="2DF7B9C6" w14:textId="77777777" w:rsidR="00E24739" w:rsidRPr="00347D98" w:rsidRDefault="00E24739" w:rsidP="0099054C">
      <w:pPr>
        <w:pStyle w:val="Heading3"/>
        <w:spacing w:line="276" w:lineRule="auto"/>
        <w:rPr>
          <w:b/>
        </w:rPr>
      </w:pPr>
      <w:bookmarkStart w:id="15" w:name="_Toc517783479"/>
      <w:bookmarkStart w:id="16" w:name="_Toc517969367"/>
      <w:r w:rsidRPr="00347D98">
        <w:rPr>
          <w:b/>
        </w:rPr>
        <w:lastRenderedPageBreak/>
        <w:t>Functionality:</w:t>
      </w:r>
      <w:bookmarkEnd w:id="15"/>
      <w:bookmarkEnd w:id="16"/>
      <w:r w:rsidRPr="00347D98">
        <w:rPr>
          <w:b/>
        </w:rPr>
        <w:t xml:space="preserve"> </w:t>
      </w:r>
    </w:p>
    <w:p w14:paraId="139E9E39" w14:textId="77777777" w:rsidR="00347D98" w:rsidRPr="00FD7EA7" w:rsidRDefault="00D309BC" w:rsidP="0099054C">
      <w:pPr>
        <w:spacing w:before="120" w:after="80" w:line="276" w:lineRule="auto"/>
        <w:rPr>
          <w:u w:val="single"/>
        </w:rPr>
      </w:pPr>
      <w:r>
        <w:rPr>
          <w:u w:val="single"/>
        </w:rPr>
        <w:t>Synopsis of CP1 q</w:t>
      </w:r>
      <w:r w:rsidRPr="00FD7EA7">
        <w:rPr>
          <w:u w:val="single"/>
        </w:rPr>
        <w:t xml:space="preserve">uestions to </w:t>
      </w:r>
      <w:r w:rsidR="00347D98" w:rsidRPr="00FD7EA7">
        <w:rPr>
          <w:u w:val="single"/>
        </w:rPr>
        <w:t>industry and responses received:</w:t>
      </w:r>
    </w:p>
    <w:p w14:paraId="4728BA83" w14:textId="77777777" w:rsidR="00CC2C95" w:rsidRDefault="00CC2C95" w:rsidP="0099054C">
      <w:pPr>
        <w:spacing w:after="80" w:line="276" w:lineRule="auto"/>
      </w:pPr>
      <w:r>
        <w:t xml:space="preserve">Q6. Should the DSB make csv (or other non JSON format) files available when downloading GUI based search results? </w:t>
      </w:r>
    </w:p>
    <w:p w14:paraId="00880A36" w14:textId="77777777" w:rsidR="00CC2C95" w:rsidRDefault="00CC2C95" w:rsidP="0099054C">
      <w:pPr>
        <w:spacing w:after="80" w:line="276" w:lineRule="auto"/>
      </w:pPr>
      <w:r>
        <w:t xml:space="preserve">Q7. Should the DSB investigate the provision of an Excel based plug-in (or other integration alternatives) to facilitate ease of use? </w:t>
      </w:r>
    </w:p>
    <w:p w14:paraId="7DFC6C31" w14:textId="77777777" w:rsidR="00CC2C95" w:rsidRDefault="00CC2C95" w:rsidP="0099054C">
      <w:pPr>
        <w:spacing w:after="80" w:line="276" w:lineRule="auto"/>
      </w:pPr>
      <w:r>
        <w:t xml:space="preserve">Q8. Should the existing enumeration management methodology be enhanced to become more dynamic and responsive to industry needs? </w:t>
      </w:r>
    </w:p>
    <w:p w14:paraId="57CF84F1" w14:textId="77777777" w:rsidR="00CC2C95" w:rsidRDefault="00CC2C95" w:rsidP="0099054C">
      <w:pPr>
        <w:spacing w:after="80" w:line="276" w:lineRule="auto"/>
      </w:pPr>
      <w:r>
        <w:t xml:space="preserve">Q9. Should </w:t>
      </w:r>
      <w:r w:rsidR="000B5C16">
        <w:t>end of day (</w:t>
      </w:r>
      <w:r>
        <w:t>EoD</w:t>
      </w:r>
      <w:r w:rsidR="000B5C16">
        <w:t>)</w:t>
      </w:r>
      <w:r>
        <w:t xml:space="preserve"> data be provided in consolidated snapshots and/or in any format? </w:t>
      </w:r>
    </w:p>
    <w:p w14:paraId="4F2C0191" w14:textId="77777777" w:rsidR="00CC2C95" w:rsidRDefault="00CC2C95" w:rsidP="0099054C">
      <w:pPr>
        <w:spacing w:after="80" w:line="276" w:lineRule="auto"/>
      </w:pPr>
      <w:r>
        <w:t xml:space="preserve">Q10. Should the DSB enhance its GUI search functionality? </w:t>
      </w:r>
    </w:p>
    <w:p w14:paraId="664506B8" w14:textId="77777777" w:rsidR="00CC2C95" w:rsidRDefault="00CC2C95" w:rsidP="0099054C">
      <w:pPr>
        <w:spacing w:after="80" w:line="276" w:lineRule="auto"/>
      </w:pPr>
      <w:r>
        <w:t xml:space="preserve">Q11. Should the DSB provide real-time analytics to industry? </w:t>
      </w:r>
    </w:p>
    <w:p w14:paraId="011FA208" w14:textId="77777777" w:rsidR="00CC2C95" w:rsidRDefault="00CC2C95" w:rsidP="0099054C">
      <w:pPr>
        <w:spacing w:after="80" w:line="276" w:lineRule="auto"/>
      </w:pPr>
      <w:r>
        <w:t xml:space="preserve">Q12. </w:t>
      </w:r>
      <w:r w:rsidR="00347D98">
        <w:t>A</w:t>
      </w:r>
      <w:r>
        <w:t xml:space="preserve">dditional workflows </w:t>
      </w:r>
      <w:r w:rsidR="00347D98">
        <w:t xml:space="preserve">that the DSB </w:t>
      </w:r>
      <w:r>
        <w:t xml:space="preserve">should support? </w:t>
      </w:r>
    </w:p>
    <w:p w14:paraId="3597B093" w14:textId="77777777" w:rsidR="00D309BC" w:rsidRDefault="00D309BC" w:rsidP="0099054C">
      <w:pPr>
        <w:spacing w:after="80" w:line="276" w:lineRule="auto"/>
      </w:pPr>
    </w:p>
    <w:p w14:paraId="175DBC91" w14:textId="77777777" w:rsidR="00347D98" w:rsidRDefault="00347D98" w:rsidP="0099054C">
      <w:pPr>
        <w:spacing w:after="80" w:line="276" w:lineRule="auto"/>
      </w:pPr>
      <w:r>
        <w:rPr>
          <w:noProof/>
        </w:rPr>
        <w:drawing>
          <wp:inline distT="0" distB="0" distL="0" distR="0" wp14:anchorId="323D930F" wp14:editId="7F3F8767">
            <wp:extent cx="5385816" cy="3346704"/>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85816" cy="3346704"/>
                    </a:xfrm>
                    <a:prstGeom prst="rect">
                      <a:avLst/>
                    </a:prstGeom>
                  </pic:spPr>
                </pic:pic>
              </a:graphicData>
            </a:graphic>
          </wp:inline>
        </w:drawing>
      </w:r>
    </w:p>
    <w:p w14:paraId="0217B85B" w14:textId="77777777" w:rsidR="00D309BC" w:rsidRDefault="00D309BC" w:rsidP="00D309BC">
      <w:pPr>
        <w:spacing w:after="120" w:line="276" w:lineRule="auto"/>
      </w:pPr>
    </w:p>
    <w:p w14:paraId="63083EF1" w14:textId="77777777" w:rsidR="00C6426B" w:rsidRPr="00C6426B" w:rsidRDefault="00C6426B" w:rsidP="00D309BC">
      <w:pPr>
        <w:spacing w:after="120" w:line="276" w:lineRule="auto"/>
      </w:pPr>
      <w:r w:rsidRPr="00C6426B">
        <w:t xml:space="preserve">General consensus </w:t>
      </w:r>
      <w:r w:rsidR="006E2F9A">
        <w:t>that</w:t>
      </w:r>
      <w:r w:rsidRPr="00C6426B">
        <w:t>:</w:t>
      </w:r>
    </w:p>
    <w:p w14:paraId="4E63931F" w14:textId="77777777" w:rsidR="00C6426B" w:rsidRPr="00C6426B" w:rsidRDefault="00C6426B" w:rsidP="00BD5583">
      <w:pPr>
        <w:pStyle w:val="ListParagraph"/>
        <w:numPr>
          <w:ilvl w:val="0"/>
          <w:numId w:val="3"/>
        </w:numPr>
        <w:spacing w:after="120" w:line="276" w:lineRule="auto"/>
        <w:ind w:left="360"/>
        <w:contextualSpacing w:val="0"/>
      </w:pPr>
      <w:r w:rsidRPr="00C6426B">
        <w:t xml:space="preserve">no new </w:t>
      </w:r>
      <w:r w:rsidR="00FD2D78">
        <w:t xml:space="preserve">search download </w:t>
      </w:r>
      <w:r w:rsidRPr="00C6426B">
        <w:t>formats are required</w:t>
      </w:r>
      <w:r w:rsidR="000C2341">
        <w:t xml:space="preserve"> for general use </w:t>
      </w:r>
    </w:p>
    <w:p w14:paraId="5D0FE87F" w14:textId="77777777" w:rsidR="00C6426B" w:rsidRPr="00C6426B" w:rsidRDefault="00C6426B" w:rsidP="00BD5583">
      <w:pPr>
        <w:pStyle w:val="ListParagraph"/>
        <w:numPr>
          <w:ilvl w:val="0"/>
          <w:numId w:val="3"/>
        </w:numPr>
        <w:spacing w:after="120" w:line="276" w:lineRule="auto"/>
        <w:ind w:left="360"/>
        <w:contextualSpacing w:val="0"/>
      </w:pPr>
      <w:r w:rsidRPr="00C6426B">
        <w:t xml:space="preserve">no new API format </w:t>
      </w:r>
      <w:r w:rsidR="000C2341">
        <w:t>(</w:t>
      </w:r>
      <w:r w:rsidR="00D309BC">
        <w:t>i.e.</w:t>
      </w:r>
      <w:r w:rsidR="000C2341">
        <w:t xml:space="preserve"> Excel plug-in) </w:t>
      </w:r>
      <w:r w:rsidR="008B36CC">
        <w:t xml:space="preserve">is </w:t>
      </w:r>
      <w:r w:rsidRPr="00C6426B">
        <w:t>required</w:t>
      </w:r>
      <w:r w:rsidR="000C2341">
        <w:t xml:space="preserve"> </w:t>
      </w:r>
    </w:p>
    <w:p w14:paraId="465740FB" w14:textId="77777777" w:rsidR="00C6426B" w:rsidRPr="00C6426B" w:rsidRDefault="00C6426B" w:rsidP="00BD5583">
      <w:pPr>
        <w:pStyle w:val="ListParagraph"/>
        <w:numPr>
          <w:ilvl w:val="0"/>
          <w:numId w:val="3"/>
        </w:numPr>
        <w:spacing w:after="120" w:line="276" w:lineRule="auto"/>
        <w:ind w:left="360"/>
        <w:contextualSpacing w:val="0"/>
      </w:pPr>
      <w:r>
        <w:t xml:space="preserve">no new file download service </w:t>
      </w:r>
      <w:r w:rsidR="008B36CC">
        <w:t xml:space="preserve">is </w:t>
      </w:r>
      <w:r>
        <w:t>required</w:t>
      </w:r>
      <w:r w:rsidR="000C2341">
        <w:t xml:space="preserve"> for general use </w:t>
      </w:r>
    </w:p>
    <w:p w14:paraId="1C64A5CB" w14:textId="77777777" w:rsidR="00C6426B" w:rsidRDefault="00C6426B" w:rsidP="00BD5583">
      <w:pPr>
        <w:pStyle w:val="ListParagraph"/>
        <w:numPr>
          <w:ilvl w:val="0"/>
          <w:numId w:val="3"/>
        </w:numPr>
        <w:spacing w:after="120" w:line="276" w:lineRule="auto"/>
        <w:ind w:left="360"/>
        <w:contextualSpacing w:val="0"/>
      </w:pPr>
      <w:r>
        <w:t>easier GUI search functionality is not required</w:t>
      </w:r>
    </w:p>
    <w:p w14:paraId="5C391098" w14:textId="77777777" w:rsidR="00C6426B" w:rsidRDefault="00C6426B" w:rsidP="00BD5583">
      <w:pPr>
        <w:pStyle w:val="ListParagraph"/>
        <w:numPr>
          <w:ilvl w:val="0"/>
          <w:numId w:val="3"/>
        </w:numPr>
        <w:spacing w:after="120" w:line="276" w:lineRule="auto"/>
        <w:ind w:left="360"/>
        <w:contextualSpacing w:val="0"/>
      </w:pPr>
      <w:r>
        <w:t xml:space="preserve">real-time analytics </w:t>
      </w:r>
      <w:r w:rsidR="008B36CC">
        <w:t xml:space="preserve">are </w:t>
      </w:r>
      <w:r>
        <w:t xml:space="preserve">not required </w:t>
      </w:r>
    </w:p>
    <w:p w14:paraId="143E8BBC" w14:textId="77777777" w:rsidR="00D309BC" w:rsidRDefault="00D309BC" w:rsidP="00BD5583">
      <w:pPr>
        <w:spacing w:after="120" w:line="276" w:lineRule="auto"/>
      </w:pPr>
    </w:p>
    <w:p w14:paraId="3E837015" w14:textId="77777777" w:rsidR="00C6426B" w:rsidRDefault="00C6426B" w:rsidP="00D309BC">
      <w:pPr>
        <w:spacing w:after="120" w:line="276" w:lineRule="auto"/>
      </w:pPr>
      <w:r>
        <w:lastRenderedPageBreak/>
        <w:t>Mixed opinion on:</w:t>
      </w:r>
    </w:p>
    <w:p w14:paraId="536FA5BA" w14:textId="77777777" w:rsidR="00C6426B" w:rsidRPr="00C6426B" w:rsidRDefault="00C6426B" w:rsidP="00BD5583">
      <w:pPr>
        <w:pStyle w:val="ListParagraph"/>
        <w:numPr>
          <w:ilvl w:val="0"/>
          <w:numId w:val="3"/>
        </w:numPr>
        <w:spacing w:after="120" w:line="276" w:lineRule="auto"/>
        <w:ind w:left="360"/>
        <w:contextualSpacing w:val="0"/>
      </w:pPr>
      <w:r>
        <w:t>whether product template change process should enable more rapid deployment</w:t>
      </w:r>
      <w:r w:rsidR="00E2292B">
        <w:t xml:space="preserve"> with some users seeking a </w:t>
      </w:r>
      <w:r w:rsidR="00D36A03">
        <w:t xml:space="preserve">less impactful process and </w:t>
      </w:r>
      <w:r w:rsidR="00E2292B">
        <w:t xml:space="preserve">maximum 2-day turnaround from notification to implementation </w:t>
      </w:r>
      <w:r w:rsidR="00D36A03">
        <w:t xml:space="preserve">and the DSB treating this as a high priority item </w:t>
      </w:r>
      <w:r w:rsidR="00E2292B">
        <w:t xml:space="preserve">whilst others were happy with the existing lead time and processes </w:t>
      </w:r>
    </w:p>
    <w:p w14:paraId="7D35B113" w14:textId="77777777" w:rsidR="00C6426B" w:rsidRDefault="00C6426B" w:rsidP="00BD5583">
      <w:pPr>
        <w:pStyle w:val="ListParagraph"/>
        <w:numPr>
          <w:ilvl w:val="0"/>
          <w:numId w:val="3"/>
        </w:numPr>
        <w:spacing w:after="120" w:line="276" w:lineRule="auto"/>
        <w:ind w:left="360"/>
        <w:contextualSpacing w:val="0"/>
      </w:pPr>
      <w:r>
        <w:t>whether ISIN metadata should be provided</w:t>
      </w:r>
      <w:r w:rsidR="00B16F59">
        <w:t xml:space="preserve"> with regular publication in a downloadable format </w:t>
      </w:r>
      <w:r w:rsidR="005C7BE9">
        <w:t xml:space="preserve">instead of real-time analytics </w:t>
      </w:r>
      <w:r w:rsidR="00B16F59">
        <w:t xml:space="preserve">e.g. user category level metrics, etc. </w:t>
      </w:r>
    </w:p>
    <w:p w14:paraId="0FD7244F" w14:textId="77777777" w:rsidR="00562242" w:rsidRDefault="00E12EBD" w:rsidP="00BD5583">
      <w:pPr>
        <w:pStyle w:val="ListParagraph"/>
        <w:numPr>
          <w:ilvl w:val="0"/>
          <w:numId w:val="3"/>
        </w:numPr>
        <w:spacing w:after="120" w:line="276" w:lineRule="auto"/>
        <w:ind w:left="360"/>
        <w:contextualSpacing w:val="0"/>
      </w:pPr>
      <w:r>
        <w:t xml:space="preserve">the need for </w:t>
      </w:r>
      <w:r w:rsidR="00E903E1">
        <w:t xml:space="preserve">additional workflows </w:t>
      </w:r>
      <w:r>
        <w:t xml:space="preserve">to be supported by the DSB </w:t>
      </w:r>
      <w:r w:rsidR="00E903E1">
        <w:t xml:space="preserve">– feedback on this item was scattered throughout </w:t>
      </w:r>
      <w:r w:rsidR="002E5DE8">
        <w:t xml:space="preserve">various documents </w:t>
      </w:r>
      <w:r w:rsidR="00882BA9">
        <w:t xml:space="preserve">with a subset of respondents seeking </w:t>
      </w:r>
      <w:r w:rsidR="00562242">
        <w:t>the following:</w:t>
      </w:r>
    </w:p>
    <w:p w14:paraId="4B98AEA9" w14:textId="77777777" w:rsidR="00562242" w:rsidRDefault="00882BA9" w:rsidP="003E133F">
      <w:pPr>
        <w:pStyle w:val="ListParagraph"/>
        <w:numPr>
          <w:ilvl w:val="0"/>
          <w:numId w:val="38"/>
        </w:numPr>
        <w:spacing w:after="120" w:line="276" w:lineRule="auto"/>
        <w:contextualSpacing w:val="0"/>
      </w:pPr>
      <w:r>
        <w:t>additional product coverage</w:t>
      </w:r>
      <w:r w:rsidR="00562242">
        <w:t xml:space="preserve"> to include any OTC derivative</w:t>
      </w:r>
    </w:p>
    <w:p w14:paraId="3B715992" w14:textId="77777777" w:rsidR="0042335F" w:rsidRDefault="00882BA9" w:rsidP="003E133F">
      <w:pPr>
        <w:pStyle w:val="ListParagraph"/>
        <w:numPr>
          <w:ilvl w:val="0"/>
          <w:numId w:val="38"/>
        </w:numPr>
        <w:spacing w:after="120" w:line="276" w:lineRule="auto"/>
        <w:contextualSpacing w:val="0"/>
      </w:pPr>
      <w:r>
        <w:t>the introduction of an ISIN hierarchy</w:t>
      </w:r>
      <w:r w:rsidR="0042335F">
        <w:t xml:space="preserve"> </w:t>
      </w:r>
    </w:p>
    <w:p w14:paraId="0685F728" w14:textId="77777777" w:rsidR="0042335F" w:rsidRDefault="00882BA9" w:rsidP="003E133F">
      <w:pPr>
        <w:pStyle w:val="ListParagraph"/>
        <w:numPr>
          <w:ilvl w:val="0"/>
          <w:numId w:val="38"/>
        </w:numPr>
        <w:spacing w:after="120" w:line="276" w:lineRule="auto"/>
        <w:contextualSpacing w:val="0"/>
      </w:pPr>
      <w:r>
        <w:t xml:space="preserve">automation of the DSB’s proprietary index submission </w:t>
      </w:r>
      <w:r w:rsidR="000C7C63">
        <w:t xml:space="preserve">and utilization </w:t>
      </w:r>
      <w:r>
        <w:t xml:space="preserve">process </w:t>
      </w:r>
    </w:p>
    <w:p w14:paraId="5C676716" w14:textId="77777777" w:rsidR="00E903E1" w:rsidRPr="00C6426B" w:rsidRDefault="00882BA9" w:rsidP="003E133F">
      <w:pPr>
        <w:pStyle w:val="ListParagraph"/>
        <w:numPr>
          <w:ilvl w:val="0"/>
          <w:numId w:val="38"/>
        </w:numPr>
        <w:spacing w:after="120" w:line="276" w:lineRule="auto"/>
        <w:contextualSpacing w:val="0"/>
      </w:pPr>
      <w:r>
        <w:t xml:space="preserve">general changes to the management of domain data </w:t>
      </w:r>
      <w:r w:rsidR="0042335F">
        <w:t xml:space="preserve">within DSB templates </w:t>
      </w:r>
      <w:r w:rsidR="008B36CC">
        <w:t xml:space="preserve">e.g. reference rates, indices, currencies, etc. </w:t>
      </w:r>
    </w:p>
    <w:p w14:paraId="05EAA19E" w14:textId="77777777" w:rsidR="000C2341" w:rsidRDefault="000C2341" w:rsidP="00C30612">
      <w:pPr>
        <w:pStyle w:val="ListParagraph"/>
        <w:numPr>
          <w:ilvl w:val="0"/>
          <w:numId w:val="3"/>
        </w:numPr>
        <w:spacing w:after="120" w:line="276" w:lineRule="auto"/>
        <w:ind w:left="360" w:hanging="357"/>
        <w:contextualSpacing w:val="0"/>
      </w:pPr>
      <w:r>
        <w:t xml:space="preserve">Some </w:t>
      </w:r>
      <w:r w:rsidR="007006F1">
        <w:t xml:space="preserve">respondents </w:t>
      </w:r>
      <w:r>
        <w:t xml:space="preserve">indicated that the following would be helpful, thus fuelling </w:t>
      </w:r>
      <w:r w:rsidR="00A57FFA">
        <w:t xml:space="preserve">the possible need for </w:t>
      </w:r>
      <w:r>
        <w:t xml:space="preserve">user specific discussions </w:t>
      </w:r>
      <w:r w:rsidR="00105BCC">
        <w:t xml:space="preserve">with consideration as to whether these should be made available </w:t>
      </w:r>
      <w:r>
        <w:t>outside the communal cost recovery model. Specific requests for the following arose:</w:t>
      </w:r>
    </w:p>
    <w:p w14:paraId="1546F016" w14:textId="77777777" w:rsidR="000C2341" w:rsidRDefault="008B36CC" w:rsidP="003E133F">
      <w:pPr>
        <w:pStyle w:val="ListParagraph"/>
        <w:numPr>
          <w:ilvl w:val="0"/>
          <w:numId w:val="39"/>
        </w:numPr>
        <w:spacing w:after="120" w:line="276" w:lineRule="auto"/>
        <w:contextualSpacing w:val="0"/>
      </w:pPr>
      <w:r>
        <w:t>t</w:t>
      </w:r>
      <w:r w:rsidR="000C2341">
        <w:t>he introduction of csv formats would assist business analysts and be significantly easier to parse and read</w:t>
      </w:r>
      <w:r w:rsidR="00E2292B">
        <w:t xml:space="preserve"> the content of OTC ISIN records </w:t>
      </w:r>
    </w:p>
    <w:p w14:paraId="5D752C9F" w14:textId="77777777" w:rsidR="005635EA" w:rsidRDefault="008B36CC" w:rsidP="003E133F">
      <w:pPr>
        <w:pStyle w:val="ListParagraph"/>
        <w:numPr>
          <w:ilvl w:val="0"/>
          <w:numId w:val="39"/>
        </w:numPr>
        <w:spacing w:after="120" w:line="276" w:lineRule="auto"/>
        <w:contextualSpacing w:val="0"/>
      </w:pPr>
      <w:r>
        <w:t>t</w:t>
      </w:r>
      <w:r w:rsidR="005635EA">
        <w:t xml:space="preserve">he provision of consolidated, user query driven, on-demand datasets available for one-time download </w:t>
      </w:r>
    </w:p>
    <w:p w14:paraId="733DA52D" w14:textId="77777777" w:rsidR="000C2341" w:rsidRDefault="008B36CC" w:rsidP="003E133F">
      <w:pPr>
        <w:pStyle w:val="ListParagraph"/>
        <w:numPr>
          <w:ilvl w:val="0"/>
          <w:numId w:val="39"/>
        </w:numPr>
        <w:spacing w:after="120" w:line="276" w:lineRule="auto"/>
        <w:contextualSpacing w:val="0"/>
      </w:pPr>
      <w:r>
        <w:t>i</w:t>
      </w:r>
      <w:r w:rsidR="00C97E15">
        <w:t>mprove</w:t>
      </w:r>
      <w:r w:rsidR="005635EA">
        <w:t>ment of</w:t>
      </w:r>
      <w:r w:rsidR="00C97E15">
        <w:t xml:space="preserve"> the attributes associated with OTC ISIN records for FX Swaps to allow GUI only users to be able to easily search for and identify the trades they need to report </w:t>
      </w:r>
    </w:p>
    <w:p w14:paraId="1EF6B240" w14:textId="77777777" w:rsidR="000C7C63" w:rsidRDefault="008B36CC" w:rsidP="003E133F">
      <w:pPr>
        <w:pStyle w:val="ListParagraph"/>
        <w:numPr>
          <w:ilvl w:val="0"/>
          <w:numId w:val="39"/>
        </w:numPr>
        <w:spacing w:after="120" w:line="276" w:lineRule="auto"/>
        <w:contextualSpacing w:val="0"/>
      </w:pPr>
      <w:r>
        <w:t>t</w:t>
      </w:r>
      <w:r w:rsidR="000C7C63">
        <w:t xml:space="preserve">he automated creation of instruments that roll on a pre-determined basis (to a schedule agreed with industry) </w:t>
      </w:r>
    </w:p>
    <w:p w14:paraId="7921014F" w14:textId="77777777" w:rsidR="00662B82" w:rsidRDefault="00662B82" w:rsidP="00C30612">
      <w:pPr>
        <w:pStyle w:val="ListParagraph"/>
        <w:numPr>
          <w:ilvl w:val="0"/>
          <w:numId w:val="3"/>
        </w:numPr>
        <w:spacing w:after="120" w:line="276" w:lineRule="auto"/>
        <w:ind w:left="360" w:hanging="357"/>
        <w:contextualSpacing w:val="0"/>
      </w:pPr>
      <w:r>
        <w:t xml:space="preserve">Industry collaboration: </w:t>
      </w:r>
    </w:p>
    <w:p w14:paraId="023C3F85" w14:textId="77777777" w:rsidR="00662B82" w:rsidRDefault="00662B82" w:rsidP="006236A8">
      <w:pPr>
        <w:spacing w:after="120" w:line="276" w:lineRule="auto"/>
        <w:ind w:left="360"/>
      </w:pPr>
      <w:r>
        <w:t>Several</w:t>
      </w:r>
      <w:r w:rsidR="00523443">
        <w:t xml:space="preserve"> </w:t>
      </w:r>
      <w:r>
        <w:t xml:space="preserve">respondents </w:t>
      </w:r>
      <w:r w:rsidR="00523443">
        <w:t xml:space="preserve">requested that the DSB engage users in longer range planning sessions </w:t>
      </w:r>
      <w:r>
        <w:t>to</w:t>
      </w:r>
      <w:r w:rsidR="00523443">
        <w:t xml:space="preserve"> collaboratively design and deploy service changes and/or enhancements</w:t>
      </w:r>
      <w:r>
        <w:t>, thus resulting in improved user communication and enabling the DSB to become more integrated with industry needs</w:t>
      </w:r>
      <w:r w:rsidR="008F6949">
        <w:t xml:space="preserve"> </w:t>
      </w:r>
    </w:p>
    <w:p w14:paraId="5C5D82B1" w14:textId="77777777" w:rsidR="00662B82" w:rsidRDefault="00662B82" w:rsidP="003E133F">
      <w:pPr>
        <w:spacing w:after="120" w:line="276" w:lineRule="auto"/>
        <w:ind w:firstLine="360"/>
      </w:pPr>
      <w:r>
        <w:t>Feedback was also received requesting the following from the DSB:</w:t>
      </w:r>
    </w:p>
    <w:p w14:paraId="0A6BB50C" w14:textId="77777777" w:rsidR="00662B82" w:rsidRDefault="00662B82" w:rsidP="003E133F">
      <w:pPr>
        <w:pStyle w:val="ListParagraph"/>
        <w:numPr>
          <w:ilvl w:val="0"/>
          <w:numId w:val="38"/>
        </w:numPr>
        <w:spacing w:after="120" w:line="276" w:lineRule="auto"/>
        <w:contextualSpacing w:val="0"/>
      </w:pPr>
      <w:r>
        <w:t xml:space="preserve">the provision of regular touch-points with industry </w:t>
      </w:r>
    </w:p>
    <w:p w14:paraId="610D3153" w14:textId="77777777" w:rsidR="00523443" w:rsidRDefault="00662B82" w:rsidP="003E133F">
      <w:pPr>
        <w:pStyle w:val="ListParagraph"/>
        <w:numPr>
          <w:ilvl w:val="0"/>
          <w:numId w:val="38"/>
        </w:numPr>
        <w:spacing w:after="120" w:line="276" w:lineRule="auto"/>
        <w:contextualSpacing w:val="0"/>
      </w:pPr>
      <w:r>
        <w:t xml:space="preserve">the need for industry working groups to be set up to facilitate work on certain enhancements </w:t>
      </w:r>
    </w:p>
    <w:p w14:paraId="522A1E2F" w14:textId="77777777" w:rsidR="00662B82" w:rsidRDefault="00662B82" w:rsidP="003E133F">
      <w:pPr>
        <w:pStyle w:val="ListParagraph"/>
        <w:numPr>
          <w:ilvl w:val="0"/>
          <w:numId w:val="38"/>
        </w:numPr>
        <w:spacing w:after="120" w:line="276" w:lineRule="auto"/>
        <w:contextualSpacing w:val="0"/>
      </w:pPr>
      <w:r>
        <w:t xml:space="preserve">the creation of a forum for the escalation of issues and/or the prioritization of change requests </w:t>
      </w:r>
    </w:p>
    <w:p w14:paraId="34D4D388" w14:textId="77777777" w:rsidR="00662B82" w:rsidRDefault="00662B82" w:rsidP="003E133F">
      <w:pPr>
        <w:pStyle w:val="ListParagraph"/>
        <w:numPr>
          <w:ilvl w:val="0"/>
          <w:numId w:val="38"/>
        </w:numPr>
        <w:spacing w:after="120" w:line="276" w:lineRule="auto"/>
        <w:contextualSpacing w:val="0"/>
      </w:pPr>
      <w:r>
        <w:lastRenderedPageBreak/>
        <w:t>improved access to market knowledge, including specialist</w:t>
      </w:r>
      <w:r w:rsidR="00D71CB3">
        <w:t xml:space="preserve">s with detailed, market segment specific knowledge </w:t>
      </w:r>
      <w:r w:rsidR="004C310F">
        <w:t>of the relevant</w:t>
      </w:r>
      <w:r>
        <w:t xml:space="preserve"> protocols </w:t>
      </w:r>
    </w:p>
    <w:p w14:paraId="63C3D5CE" w14:textId="77777777" w:rsidR="00662B82" w:rsidRDefault="00662B82" w:rsidP="003E133F">
      <w:pPr>
        <w:pStyle w:val="ListParagraph"/>
        <w:numPr>
          <w:ilvl w:val="0"/>
          <w:numId w:val="38"/>
        </w:numPr>
        <w:spacing w:after="120" w:line="276" w:lineRule="auto"/>
        <w:contextualSpacing w:val="0"/>
      </w:pPr>
      <w:r>
        <w:t xml:space="preserve">a forum to enable industry integration to become seamless and integral to the operation of the DSB </w:t>
      </w:r>
    </w:p>
    <w:p w14:paraId="6AEE3206" w14:textId="77777777" w:rsidR="00B041A8" w:rsidRDefault="00B041A8" w:rsidP="003E133F">
      <w:pPr>
        <w:pStyle w:val="ListParagraph"/>
        <w:numPr>
          <w:ilvl w:val="0"/>
          <w:numId w:val="38"/>
        </w:numPr>
        <w:spacing w:after="120" w:line="276" w:lineRule="auto"/>
        <w:contextualSpacing w:val="0"/>
      </w:pPr>
      <w:r>
        <w:t xml:space="preserve">introduction of additional templates across the full spectrum of OTC derivative products, especially for more granular indices and complex derivatives </w:t>
      </w:r>
    </w:p>
    <w:p w14:paraId="4F02097D" w14:textId="77777777" w:rsidR="00B041A8" w:rsidRDefault="00B041A8" w:rsidP="003E133F">
      <w:pPr>
        <w:pStyle w:val="ListParagraph"/>
        <w:numPr>
          <w:ilvl w:val="0"/>
          <w:numId w:val="38"/>
        </w:numPr>
        <w:spacing w:after="120" w:line="276" w:lineRule="auto"/>
        <w:contextualSpacing w:val="0"/>
      </w:pPr>
      <w:r>
        <w:t>introduction of ISIN hierarchies that fall outside of the regulatory scope</w:t>
      </w:r>
    </w:p>
    <w:p w14:paraId="1C32DD40" w14:textId="77777777" w:rsidR="00B041A8" w:rsidRDefault="00B041A8" w:rsidP="003E133F">
      <w:pPr>
        <w:pStyle w:val="ListParagraph"/>
        <w:numPr>
          <w:ilvl w:val="0"/>
          <w:numId w:val="38"/>
        </w:numPr>
        <w:spacing w:after="120" w:line="276" w:lineRule="auto"/>
        <w:contextualSpacing w:val="0"/>
      </w:pPr>
      <w:r>
        <w:t xml:space="preserve">automation of existing services such as the proprietary index submission and use process </w:t>
      </w:r>
    </w:p>
    <w:p w14:paraId="665E95BF" w14:textId="77777777" w:rsidR="00662B82" w:rsidRDefault="00662B82" w:rsidP="003E133F">
      <w:pPr>
        <w:pStyle w:val="ListParagraph"/>
        <w:numPr>
          <w:ilvl w:val="0"/>
          <w:numId w:val="38"/>
        </w:numPr>
        <w:spacing w:after="120" w:line="276" w:lineRule="auto"/>
        <w:contextualSpacing w:val="0"/>
      </w:pPr>
      <w:r>
        <w:t xml:space="preserve">improved alignment with ISDA and the GFMA </w:t>
      </w:r>
    </w:p>
    <w:p w14:paraId="55A3B4C0" w14:textId="77777777" w:rsidR="00662B82" w:rsidRDefault="00662B82" w:rsidP="006236A8">
      <w:pPr>
        <w:pStyle w:val="ListParagraph"/>
        <w:numPr>
          <w:ilvl w:val="0"/>
          <w:numId w:val="38"/>
        </w:numPr>
        <w:spacing w:after="240" w:line="276" w:lineRule="auto"/>
        <w:contextualSpacing w:val="0"/>
      </w:pPr>
      <w:r>
        <w:t xml:space="preserve">development of a three-year strategic plan </w:t>
      </w:r>
    </w:p>
    <w:p w14:paraId="045A06F7" w14:textId="77777777" w:rsidR="002822DB" w:rsidRDefault="002822DB" w:rsidP="003E133F">
      <w:pPr>
        <w:spacing w:after="120" w:line="276" w:lineRule="auto"/>
        <w:ind w:left="360"/>
      </w:pPr>
      <w:r>
        <w:t>The proposed structure and composition of the user forum for industry review and feedback is provided below. It is anticipated that:</w:t>
      </w:r>
    </w:p>
    <w:p w14:paraId="0CC9E3B6" w14:textId="77777777" w:rsidR="002822DB" w:rsidRDefault="002822DB" w:rsidP="003E133F">
      <w:pPr>
        <w:pStyle w:val="ListParagraph"/>
        <w:numPr>
          <w:ilvl w:val="0"/>
          <w:numId w:val="38"/>
        </w:numPr>
        <w:spacing w:after="120" w:line="276" w:lineRule="auto"/>
        <w:contextualSpacing w:val="0"/>
      </w:pPr>
      <w:r>
        <w:t xml:space="preserve">the user forum would be driven by institutions seeking additional functionality and service levels from the DSB </w:t>
      </w:r>
    </w:p>
    <w:p w14:paraId="38317683" w14:textId="77777777" w:rsidR="002822DB" w:rsidRDefault="002822DB" w:rsidP="003E133F">
      <w:pPr>
        <w:pStyle w:val="ListParagraph"/>
        <w:numPr>
          <w:ilvl w:val="0"/>
          <w:numId w:val="38"/>
        </w:numPr>
        <w:spacing w:after="120" w:line="276" w:lineRule="auto"/>
        <w:contextualSpacing w:val="0"/>
      </w:pPr>
      <w:r>
        <w:t>the user forum would comprise a cross-functional skill set, with a lead representative per organization serving as a conduit into the relevant organization’s needs and priorities</w:t>
      </w:r>
    </w:p>
    <w:p w14:paraId="5C9C5EAC" w14:textId="77777777" w:rsidR="002822DB" w:rsidRDefault="002822DB" w:rsidP="003E133F">
      <w:pPr>
        <w:pStyle w:val="ListParagraph"/>
        <w:numPr>
          <w:ilvl w:val="0"/>
          <w:numId w:val="38"/>
        </w:numPr>
        <w:spacing w:after="120" w:line="276" w:lineRule="auto"/>
        <w:contextualSpacing w:val="0"/>
      </w:pPr>
      <w:r>
        <w:t xml:space="preserve">the user forum would facilitate industry integration as DSB products and services evolve for those user segments seeking enhancements </w:t>
      </w:r>
    </w:p>
    <w:p w14:paraId="75E8D994" w14:textId="77777777" w:rsidR="002822DB" w:rsidRDefault="002822DB" w:rsidP="003E133F">
      <w:pPr>
        <w:pStyle w:val="ListParagraph"/>
        <w:numPr>
          <w:ilvl w:val="0"/>
          <w:numId w:val="38"/>
        </w:numPr>
        <w:spacing w:after="120" w:line="276" w:lineRule="auto"/>
        <w:contextualSpacing w:val="0"/>
      </w:pPr>
      <w:r>
        <w:t xml:space="preserve">the user forum would convene monthly (consistent with anecdotal requests received by the DSB), thus requiring on average a fortnight’s worth of work effort involved in ensuring preparatory and follow-up activities and accompanying user expectations were fulfilled in a manner consistent with that expected from key market infrastructure providers </w:t>
      </w:r>
    </w:p>
    <w:p w14:paraId="00EFEE97" w14:textId="77777777" w:rsidR="00934FE1" w:rsidRPr="009F59A8" w:rsidRDefault="00934FE1" w:rsidP="00D721C8">
      <w:pPr>
        <w:pStyle w:val="ListParagraph"/>
        <w:numPr>
          <w:ilvl w:val="0"/>
          <w:numId w:val="38"/>
        </w:numPr>
        <w:spacing w:after="120" w:line="276" w:lineRule="auto"/>
        <w:contextualSpacing w:val="0"/>
      </w:pPr>
      <w:r w:rsidRPr="009F59A8">
        <w:t xml:space="preserve">the user forum could be </w:t>
      </w:r>
      <w:r w:rsidR="007B474C" w:rsidRPr="009F59A8">
        <w:t xml:space="preserve">supported </w:t>
      </w:r>
      <w:r w:rsidRPr="009F59A8">
        <w:t xml:space="preserve">using one of the following approaches, based on industry feedback </w:t>
      </w:r>
      <w:r w:rsidR="007B474C" w:rsidRPr="009F59A8">
        <w:t xml:space="preserve">about </w:t>
      </w:r>
      <w:r w:rsidRPr="009F59A8">
        <w:t xml:space="preserve">desired </w:t>
      </w:r>
      <w:r w:rsidR="007B474C" w:rsidRPr="009F59A8">
        <w:t>support levels</w:t>
      </w:r>
      <w:r w:rsidRPr="009F59A8">
        <w:t xml:space="preserve">: </w:t>
      </w:r>
    </w:p>
    <w:p w14:paraId="0FA0D905" w14:textId="77777777" w:rsidR="00934FE1" w:rsidRPr="009F59A8" w:rsidRDefault="00934FE1" w:rsidP="00D721C8">
      <w:pPr>
        <w:pStyle w:val="ListParagraph"/>
        <w:numPr>
          <w:ilvl w:val="0"/>
          <w:numId w:val="3"/>
        </w:numPr>
        <w:spacing w:after="120" w:line="276" w:lineRule="auto"/>
        <w:contextualSpacing w:val="0"/>
      </w:pPr>
      <w:r w:rsidRPr="009F59A8">
        <w:t xml:space="preserve">administrative </w:t>
      </w:r>
      <w:r w:rsidR="00B279DC" w:rsidRPr="009F59A8">
        <w:t>support</w:t>
      </w:r>
      <w:r w:rsidRPr="009F59A8">
        <w:t xml:space="preserve"> to collate/ disseminate feedback and set up logistics </w:t>
      </w:r>
    </w:p>
    <w:p w14:paraId="28B25735" w14:textId="77777777" w:rsidR="00934FE1" w:rsidRPr="009F59A8" w:rsidRDefault="00934FE1" w:rsidP="00D721C8">
      <w:pPr>
        <w:pStyle w:val="ListParagraph"/>
        <w:numPr>
          <w:ilvl w:val="0"/>
          <w:numId w:val="3"/>
        </w:numPr>
        <w:spacing w:after="120" w:line="276" w:lineRule="auto"/>
        <w:contextualSpacing w:val="0"/>
      </w:pPr>
      <w:r w:rsidRPr="009F59A8">
        <w:t xml:space="preserve">a mix of administrative and some OTC derivative market experience to facilitate logistics and assist with product/service design </w:t>
      </w:r>
    </w:p>
    <w:p w14:paraId="5CC848AF" w14:textId="77777777" w:rsidR="00934FE1" w:rsidRPr="009F59A8" w:rsidRDefault="00934FE1" w:rsidP="00D721C8">
      <w:pPr>
        <w:pStyle w:val="ListParagraph"/>
        <w:numPr>
          <w:ilvl w:val="0"/>
          <w:numId w:val="3"/>
        </w:numPr>
        <w:spacing w:after="120" w:line="276" w:lineRule="auto"/>
        <w:contextualSpacing w:val="0"/>
      </w:pPr>
      <w:r w:rsidRPr="009F59A8">
        <w:t xml:space="preserve">a combination of resources with deep OTC derivative delivery and product development skills to expedite discussions and delivery, with proactive industry engagement </w:t>
      </w:r>
    </w:p>
    <w:p w14:paraId="0A993B28" w14:textId="77777777" w:rsidR="00C6426B" w:rsidRPr="009F59A8" w:rsidRDefault="00FD2D78" w:rsidP="00C30612">
      <w:pPr>
        <w:pStyle w:val="ListParagraph"/>
        <w:numPr>
          <w:ilvl w:val="0"/>
          <w:numId w:val="3"/>
        </w:numPr>
        <w:spacing w:after="120" w:line="276" w:lineRule="auto"/>
        <w:ind w:left="360" w:hanging="357"/>
        <w:contextualSpacing w:val="0"/>
      </w:pPr>
      <w:r w:rsidRPr="009F59A8">
        <w:t xml:space="preserve">Detailed feedback on each item is provided as part of the TAC presentation, </w:t>
      </w:r>
      <w:hyperlink r:id="rId15" w:history="1">
        <w:r w:rsidRPr="009F59A8">
          <w:rPr>
            <w:rStyle w:val="Hyperlink"/>
          </w:rPr>
          <w:t>available here</w:t>
        </w:r>
      </w:hyperlink>
    </w:p>
    <w:p w14:paraId="337F1399" w14:textId="77777777" w:rsidR="00CC5CFC" w:rsidRPr="009F59A8" w:rsidRDefault="00CC5CFC" w:rsidP="00CC5CFC">
      <w:pPr>
        <w:pStyle w:val="ListParagraph"/>
        <w:spacing w:after="120" w:line="276" w:lineRule="auto"/>
        <w:ind w:left="360"/>
        <w:contextualSpacing w:val="0"/>
      </w:pPr>
    </w:p>
    <w:p w14:paraId="2D1F928D" w14:textId="77777777" w:rsidR="005448FD" w:rsidRPr="009F59A8" w:rsidRDefault="005448FD" w:rsidP="005448FD">
      <w:pPr>
        <w:spacing w:before="120" w:after="80" w:line="276" w:lineRule="auto"/>
        <w:rPr>
          <w:u w:val="single"/>
        </w:rPr>
      </w:pPr>
      <w:r w:rsidRPr="009F59A8">
        <w:rPr>
          <w:u w:val="single"/>
        </w:rPr>
        <w:t xml:space="preserve">DSB Decision: </w:t>
      </w:r>
    </w:p>
    <w:p w14:paraId="2F45E704" w14:textId="77777777" w:rsidR="005448FD" w:rsidRPr="009F59A8" w:rsidRDefault="00FD2D78" w:rsidP="008B36CC">
      <w:pPr>
        <w:pStyle w:val="ListParagraph"/>
        <w:numPr>
          <w:ilvl w:val="0"/>
          <w:numId w:val="30"/>
        </w:numPr>
        <w:spacing w:after="80" w:line="276" w:lineRule="auto"/>
        <w:contextualSpacing w:val="0"/>
      </w:pPr>
      <w:r w:rsidRPr="009F59A8">
        <w:t xml:space="preserve">No further activity on new search download formats, new API formats, new file download formats, enhanced GUI search functionality as part of the </w:t>
      </w:r>
      <w:r w:rsidR="00FF6D27" w:rsidRPr="009F59A8">
        <w:t>communal cost recovery ring-fence</w:t>
      </w:r>
    </w:p>
    <w:p w14:paraId="27BC5C59" w14:textId="77777777" w:rsidR="00FF6D27" w:rsidRPr="009F59A8" w:rsidRDefault="008F736C" w:rsidP="008B36CC">
      <w:pPr>
        <w:pStyle w:val="ListParagraph"/>
        <w:numPr>
          <w:ilvl w:val="0"/>
          <w:numId w:val="30"/>
        </w:numPr>
        <w:spacing w:after="80" w:line="276" w:lineRule="auto"/>
        <w:contextualSpacing w:val="0"/>
      </w:pPr>
      <w:r w:rsidRPr="009F59A8">
        <w:t xml:space="preserve">Seek </w:t>
      </w:r>
      <w:r w:rsidR="009A1907" w:rsidRPr="009F59A8">
        <w:t xml:space="preserve">industry guidance on </w:t>
      </w:r>
      <w:r w:rsidR="00E24C77" w:rsidRPr="009F59A8">
        <w:t xml:space="preserve">whether </w:t>
      </w:r>
      <w:r w:rsidR="009A1907" w:rsidRPr="009F59A8">
        <w:t xml:space="preserve">the </w:t>
      </w:r>
      <w:r w:rsidR="00E24C77" w:rsidRPr="009F59A8">
        <w:t xml:space="preserve">process </w:t>
      </w:r>
      <w:r w:rsidRPr="009F59A8">
        <w:t xml:space="preserve">for product template </w:t>
      </w:r>
      <w:r w:rsidR="00E24C77" w:rsidRPr="009F59A8">
        <w:t xml:space="preserve">changes should be changed to enable faster product template changes whilst reducing industry testing </w:t>
      </w:r>
      <w:r w:rsidR="00E24C77" w:rsidRPr="009F59A8">
        <w:lastRenderedPageBreak/>
        <w:t>requirements</w:t>
      </w:r>
      <w:r w:rsidR="008B36CC" w:rsidRPr="009F59A8">
        <w:t xml:space="preserve"> </w:t>
      </w:r>
      <w:r w:rsidRPr="009F59A8">
        <w:t xml:space="preserve">change process and collaborate with the </w:t>
      </w:r>
      <w:hyperlink r:id="rId16" w:history="1">
        <w:r w:rsidRPr="009F59A8">
          <w:rPr>
            <w:rStyle w:val="Hyperlink"/>
          </w:rPr>
          <w:t>Product Committee</w:t>
        </w:r>
      </w:hyperlink>
      <w:r w:rsidRPr="009F59A8">
        <w:t xml:space="preserve"> as subsequently required</w:t>
      </w:r>
      <w:r w:rsidR="005C7BE9" w:rsidRPr="009F59A8">
        <w:t xml:space="preserve">. Further information on costs is set out below. </w:t>
      </w:r>
      <w:r w:rsidRPr="009F59A8">
        <w:t xml:space="preserve"> </w:t>
      </w:r>
    </w:p>
    <w:p w14:paraId="002F7849" w14:textId="77777777" w:rsidR="008F736C" w:rsidRPr="009F59A8" w:rsidRDefault="008F736C" w:rsidP="008B36CC">
      <w:pPr>
        <w:pStyle w:val="ListParagraph"/>
        <w:numPr>
          <w:ilvl w:val="0"/>
          <w:numId w:val="30"/>
        </w:numPr>
        <w:spacing w:after="80" w:line="276" w:lineRule="auto"/>
        <w:contextualSpacing w:val="0"/>
      </w:pPr>
      <w:r w:rsidRPr="009F59A8">
        <w:t xml:space="preserve">Seek </w:t>
      </w:r>
      <w:r w:rsidR="00E24C77" w:rsidRPr="009F59A8">
        <w:t>industry</w:t>
      </w:r>
      <w:r w:rsidRPr="009F59A8">
        <w:t xml:space="preserve"> guidance on the </w:t>
      </w:r>
      <w:r w:rsidR="00E24C77" w:rsidRPr="009F59A8">
        <w:t>ty</w:t>
      </w:r>
      <w:r w:rsidR="007F1341" w:rsidRPr="009F59A8">
        <w:t>p</w:t>
      </w:r>
      <w:r w:rsidR="00E24C77" w:rsidRPr="009F59A8">
        <w:t>e, frequency and delivery model</w:t>
      </w:r>
      <w:r w:rsidRPr="009F59A8">
        <w:t xml:space="preserve"> for</w:t>
      </w:r>
      <w:r w:rsidR="007F1341" w:rsidRPr="009F59A8">
        <w:t xml:space="preserve"> </w:t>
      </w:r>
      <w:r w:rsidRPr="009F59A8">
        <w:t>ISIN metadata</w:t>
      </w:r>
      <w:r w:rsidR="007F1341" w:rsidRPr="009F59A8">
        <w:t xml:space="preserve"> </w:t>
      </w:r>
    </w:p>
    <w:p w14:paraId="3826339B" w14:textId="77777777" w:rsidR="005B504A" w:rsidRPr="009F59A8" w:rsidRDefault="005B504A" w:rsidP="00F22C5B">
      <w:pPr>
        <w:pStyle w:val="ListParagraph"/>
        <w:spacing w:after="80" w:line="276" w:lineRule="auto"/>
        <w:ind w:left="360"/>
        <w:contextualSpacing w:val="0"/>
      </w:pPr>
    </w:p>
    <w:p w14:paraId="2C9685CC" w14:textId="77777777" w:rsidR="005448FD" w:rsidRPr="009F59A8" w:rsidRDefault="005448FD" w:rsidP="005448FD">
      <w:pPr>
        <w:spacing w:before="120" w:after="80" w:line="276" w:lineRule="auto"/>
        <w:rPr>
          <w:u w:val="single"/>
        </w:rPr>
      </w:pPr>
      <w:r w:rsidRPr="009F59A8">
        <w:rPr>
          <w:u w:val="single"/>
        </w:rPr>
        <w:t>Questions for industry</w:t>
      </w:r>
    </w:p>
    <w:p w14:paraId="2597A5B9" w14:textId="77777777" w:rsidR="006303FC" w:rsidRPr="009F59A8" w:rsidRDefault="006303FC" w:rsidP="00930949">
      <w:pPr>
        <w:pStyle w:val="ListParagraph"/>
        <w:numPr>
          <w:ilvl w:val="0"/>
          <w:numId w:val="29"/>
        </w:numPr>
        <w:spacing w:after="240" w:line="276" w:lineRule="auto"/>
        <w:contextualSpacing w:val="0"/>
      </w:pPr>
      <w:r w:rsidRPr="009F59A8">
        <w:t xml:space="preserve">Industry collaboration: Several respondents requested that the DSB engage users in longer range planning sessions to collaboratively design and deploy </w:t>
      </w:r>
      <w:r w:rsidR="00CD1E8F" w:rsidRPr="009F59A8">
        <w:t xml:space="preserve">additional functionality alongside any </w:t>
      </w:r>
      <w:r w:rsidRPr="009F59A8">
        <w:t>service changes and/or enhancements, thus resulting in improved user communication and enabling the DSB to become more integrated with industry needs</w:t>
      </w:r>
    </w:p>
    <w:p w14:paraId="45BD700A" w14:textId="77777777" w:rsidR="006303FC" w:rsidRPr="009F59A8" w:rsidRDefault="006303FC" w:rsidP="00BD5583">
      <w:pPr>
        <w:pStyle w:val="ListParagraph"/>
        <w:spacing w:after="120" w:line="276" w:lineRule="auto"/>
        <w:ind w:left="357"/>
        <w:contextualSpacing w:val="0"/>
      </w:pPr>
      <w:r w:rsidRPr="009F59A8">
        <w:t>Feedback was also received requesting the following from the DSB:</w:t>
      </w:r>
    </w:p>
    <w:p w14:paraId="0F801491" w14:textId="77777777" w:rsidR="006303FC" w:rsidRPr="009F59A8" w:rsidRDefault="006303FC" w:rsidP="00BD5583">
      <w:pPr>
        <w:pStyle w:val="ListParagraph"/>
        <w:numPr>
          <w:ilvl w:val="1"/>
          <w:numId w:val="19"/>
        </w:numPr>
        <w:spacing w:after="120" w:line="276" w:lineRule="auto"/>
        <w:ind w:left="1083"/>
        <w:contextualSpacing w:val="0"/>
      </w:pPr>
      <w:r w:rsidRPr="009F59A8">
        <w:t xml:space="preserve">the provision of regular touch-points with industry </w:t>
      </w:r>
    </w:p>
    <w:p w14:paraId="3FA1A57D" w14:textId="77777777" w:rsidR="006303FC" w:rsidRPr="009F59A8" w:rsidRDefault="006303FC" w:rsidP="00BD5583">
      <w:pPr>
        <w:pStyle w:val="ListParagraph"/>
        <w:numPr>
          <w:ilvl w:val="1"/>
          <w:numId w:val="19"/>
        </w:numPr>
        <w:spacing w:after="120" w:line="276" w:lineRule="auto"/>
        <w:ind w:left="1083"/>
        <w:contextualSpacing w:val="0"/>
      </w:pPr>
      <w:r w:rsidRPr="009F59A8">
        <w:t xml:space="preserve">the need for </w:t>
      </w:r>
      <w:r w:rsidR="00D37A3E" w:rsidRPr="009F59A8">
        <w:t xml:space="preserve">DSB driven </w:t>
      </w:r>
      <w:r w:rsidRPr="009F59A8">
        <w:t xml:space="preserve">industry working groups to be set up to facilitate work on certain enhancements </w:t>
      </w:r>
    </w:p>
    <w:p w14:paraId="375689B2" w14:textId="77777777" w:rsidR="006303FC" w:rsidRPr="009F59A8" w:rsidRDefault="006303FC" w:rsidP="00BD5583">
      <w:pPr>
        <w:pStyle w:val="ListParagraph"/>
        <w:numPr>
          <w:ilvl w:val="1"/>
          <w:numId w:val="19"/>
        </w:numPr>
        <w:spacing w:after="120" w:line="276" w:lineRule="auto"/>
        <w:ind w:left="1083"/>
        <w:contextualSpacing w:val="0"/>
      </w:pPr>
      <w:r w:rsidRPr="009F59A8">
        <w:t xml:space="preserve">the creation of a forum for the escalation of issues and/or the prioritization of change requests </w:t>
      </w:r>
    </w:p>
    <w:p w14:paraId="0DED50FA" w14:textId="77777777" w:rsidR="006303FC" w:rsidRPr="009F59A8" w:rsidRDefault="006303FC" w:rsidP="00BD5583">
      <w:pPr>
        <w:pStyle w:val="ListParagraph"/>
        <w:numPr>
          <w:ilvl w:val="1"/>
          <w:numId w:val="19"/>
        </w:numPr>
        <w:spacing w:after="120" w:line="276" w:lineRule="auto"/>
        <w:ind w:left="1083"/>
        <w:contextualSpacing w:val="0"/>
      </w:pPr>
      <w:r w:rsidRPr="009F59A8">
        <w:t>improved access to market knowledge, including specialist</w:t>
      </w:r>
      <w:r w:rsidR="004C310F" w:rsidRPr="009F59A8">
        <w:t>s with detailed, market segment specific knowledge of the relevant</w:t>
      </w:r>
      <w:r w:rsidRPr="009F59A8">
        <w:t xml:space="preserve"> protocols </w:t>
      </w:r>
    </w:p>
    <w:p w14:paraId="64483C18" w14:textId="77777777" w:rsidR="004E47E8" w:rsidRPr="009F59A8" w:rsidRDefault="004E47E8" w:rsidP="00BD5583">
      <w:pPr>
        <w:pStyle w:val="ListParagraph"/>
        <w:numPr>
          <w:ilvl w:val="1"/>
          <w:numId w:val="19"/>
        </w:numPr>
        <w:spacing w:after="120" w:line="276" w:lineRule="auto"/>
        <w:ind w:left="1083"/>
        <w:contextualSpacing w:val="0"/>
      </w:pPr>
      <w:r w:rsidRPr="009F59A8">
        <w:t xml:space="preserve">introduction of additional templates across the full spectrum of OTC derivative products, especially for more granular indices and complex derivatives </w:t>
      </w:r>
    </w:p>
    <w:p w14:paraId="4236442D" w14:textId="77777777" w:rsidR="004E47E8" w:rsidRPr="009F59A8" w:rsidRDefault="004E47E8" w:rsidP="00BD5583">
      <w:pPr>
        <w:pStyle w:val="ListParagraph"/>
        <w:numPr>
          <w:ilvl w:val="1"/>
          <w:numId w:val="19"/>
        </w:numPr>
        <w:spacing w:after="120" w:line="276" w:lineRule="auto"/>
        <w:ind w:left="1083"/>
        <w:contextualSpacing w:val="0"/>
      </w:pPr>
      <w:r w:rsidRPr="009F59A8">
        <w:t>introduction of ISIN hierarchies that fall outside of the regulatory scope</w:t>
      </w:r>
    </w:p>
    <w:p w14:paraId="36E25BEC" w14:textId="77777777" w:rsidR="004E47E8" w:rsidRPr="009F59A8" w:rsidRDefault="004E47E8" w:rsidP="00BD5583">
      <w:pPr>
        <w:pStyle w:val="ListParagraph"/>
        <w:numPr>
          <w:ilvl w:val="1"/>
          <w:numId w:val="19"/>
        </w:numPr>
        <w:spacing w:after="120" w:line="276" w:lineRule="auto"/>
        <w:ind w:left="1083"/>
        <w:contextualSpacing w:val="0"/>
      </w:pPr>
      <w:r w:rsidRPr="009F59A8">
        <w:t>automation of existing services</w:t>
      </w:r>
      <w:r w:rsidR="00DF4816" w:rsidRPr="009F59A8">
        <w:t xml:space="preserve"> such as the proprietary index submission and use process </w:t>
      </w:r>
    </w:p>
    <w:p w14:paraId="24ED43F4" w14:textId="77777777" w:rsidR="006303FC" w:rsidRPr="009F59A8" w:rsidRDefault="006303FC" w:rsidP="00BD5583">
      <w:pPr>
        <w:pStyle w:val="ListParagraph"/>
        <w:numPr>
          <w:ilvl w:val="1"/>
          <w:numId w:val="19"/>
        </w:numPr>
        <w:spacing w:after="120" w:line="276" w:lineRule="auto"/>
        <w:ind w:left="1083"/>
        <w:contextualSpacing w:val="0"/>
      </w:pPr>
      <w:r w:rsidRPr="009F59A8">
        <w:t xml:space="preserve">improved alignment with ISDA and the GFMA </w:t>
      </w:r>
    </w:p>
    <w:p w14:paraId="3D54AB9A" w14:textId="77777777" w:rsidR="006303FC" w:rsidRPr="009F59A8" w:rsidRDefault="006303FC" w:rsidP="00930949">
      <w:pPr>
        <w:pStyle w:val="ListParagraph"/>
        <w:numPr>
          <w:ilvl w:val="1"/>
          <w:numId w:val="19"/>
        </w:numPr>
        <w:spacing w:after="240" w:line="276" w:lineRule="auto"/>
        <w:ind w:left="1080"/>
        <w:contextualSpacing w:val="0"/>
      </w:pPr>
      <w:r w:rsidRPr="009F59A8">
        <w:t xml:space="preserve">development of a three-year strategic plan </w:t>
      </w:r>
    </w:p>
    <w:p w14:paraId="7448031E" w14:textId="77777777" w:rsidR="00D37A3E" w:rsidRPr="009F59A8" w:rsidRDefault="00AE2BA2" w:rsidP="003E133F">
      <w:pPr>
        <w:pStyle w:val="ListParagraph"/>
        <w:spacing w:after="120" w:line="276" w:lineRule="auto"/>
        <w:ind w:left="636"/>
        <w:contextualSpacing w:val="0"/>
      </w:pPr>
      <w:r w:rsidRPr="009F59A8">
        <w:t>The p</w:t>
      </w:r>
      <w:r w:rsidR="00D37A3E" w:rsidRPr="009F59A8">
        <w:t>roposed structure and composition of the user forum is provided below</w:t>
      </w:r>
      <w:r w:rsidR="008F6949" w:rsidRPr="009F59A8">
        <w:t xml:space="preserve"> for industry review and feedback</w:t>
      </w:r>
      <w:r w:rsidR="00D37A3E" w:rsidRPr="009F59A8">
        <w:t xml:space="preserve">. </w:t>
      </w:r>
      <w:r w:rsidR="0096533F" w:rsidRPr="009F59A8">
        <w:t xml:space="preserve">Based on responses to the first consultation, </w:t>
      </w:r>
      <w:r w:rsidR="008F6949" w:rsidRPr="009F59A8">
        <w:t>i</w:t>
      </w:r>
      <w:r w:rsidR="00D37A3E" w:rsidRPr="009F59A8">
        <w:t>t is anticipated that:</w:t>
      </w:r>
    </w:p>
    <w:p w14:paraId="09AC7D61" w14:textId="77777777" w:rsidR="00D37A3E" w:rsidRPr="009F59A8" w:rsidRDefault="00D37A3E" w:rsidP="003E133F">
      <w:pPr>
        <w:pStyle w:val="ListParagraph"/>
        <w:numPr>
          <w:ilvl w:val="0"/>
          <w:numId w:val="3"/>
        </w:numPr>
        <w:spacing w:after="120" w:line="276" w:lineRule="auto"/>
        <w:contextualSpacing w:val="0"/>
      </w:pPr>
      <w:r w:rsidRPr="009F59A8">
        <w:t xml:space="preserve">the user forum would be driven by institutions seeking additional functionality and service levels from the DSB </w:t>
      </w:r>
    </w:p>
    <w:p w14:paraId="39529FDF" w14:textId="77777777" w:rsidR="00D37A3E" w:rsidRPr="009F59A8" w:rsidRDefault="00D37A3E" w:rsidP="003E133F">
      <w:pPr>
        <w:pStyle w:val="ListParagraph"/>
        <w:numPr>
          <w:ilvl w:val="0"/>
          <w:numId w:val="3"/>
        </w:numPr>
        <w:spacing w:after="120" w:line="276" w:lineRule="auto"/>
        <w:contextualSpacing w:val="0"/>
      </w:pPr>
      <w:r w:rsidRPr="009F59A8">
        <w:t>the user forum would comprise a cross-functional skill set, with a lead representative per organization serving as a conduit into the relevant organization’s needs and priorities</w:t>
      </w:r>
    </w:p>
    <w:p w14:paraId="31CBF93E" w14:textId="77777777" w:rsidR="004E47E8" w:rsidRPr="009F59A8" w:rsidRDefault="004E47E8" w:rsidP="003E133F">
      <w:pPr>
        <w:pStyle w:val="ListParagraph"/>
        <w:numPr>
          <w:ilvl w:val="0"/>
          <w:numId w:val="3"/>
        </w:numPr>
        <w:spacing w:after="120" w:line="276" w:lineRule="auto"/>
        <w:contextualSpacing w:val="0"/>
      </w:pPr>
      <w:r w:rsidRPr="009F59A8">
        <w:t xml:space="preserve">the user forum would facilitate industry integration as DSB products and services evolve for those user segments seeking enhancements </w:t>
      </w:r>
    </w:p>
    <w:p w14:paraId="79258115" w14:textId="77777777" w:rsidR="00D37A3E" w:rsidRPr="009F59A8" w:rsidRDefault="00D37A3E" w:rsidP="003E133F">
      <w:pPr>
        <w:pStyle w:val="ListParagraph"/>
        <w:numPr>
          <w:ilvl w:val="0"/>
          <w:numId w:val="3"/>
        </w:numPr>
        <w:spacing w:after="120" w:line="276" w:lineRule="auto"/>
        <w:contextualSpacing w:val="0"/>
      </w:pPr>
      <w:r w:rsidRPr="009F59A8">
        <w:t>the u</w:t>
      </w:r>
      <w:r w:rsidR="004C310F" w:rsidRPr="009F59A8">
        <w:t xml:space="preserve">ser </w:t>
      </w:r>
      <w:r w:rsidRPr="009F59A8">
        <w:t xml:space="preserve">forum </w:t>
      </w:r>
      <w:r w:rsidR="004C310F" w:rsidRPr="009F59A8">
        <w:t>would convene monthly</w:t>
      </w:r>
      <w:r w:rsidRPr="009F59A8">
        <w:t xml:space="preserve"> (consistent with anecdotal requests received by the DSB)</w:t>
      </w:r>
      <w:r w:rsidR="004C310F" w:rsidRPr="009F59A8">
        <w:t xml:space="preserve">, </w:t>
      </w:r>
      <w:r w:rsidRPr="009F59A8">
        <w:t xml:space="preserve">requiring on average </w:t>
      </w:r>
      <w:r w:rsidR="004C310F" w:rsidRPr="009F59A8">
        <w:t xml:space="preserve">a fortnight’s work effort </w:t>
      </w:r>
      <w:r w:rsidR="008F6949" w:rsidRPr="009F59A8">
        <w:t xml:space="preserve">to </w:t>
      </w:r>
      <w:r w:rsidR="004C310F" w:rsidRPr="009F59A8">
        <w:t>ensur</w:t>
      </w:r>
      <w:r w:rsidR="008F6949" w:rsidRPr="009F59A8">
        <w:t xml:space="preserve">e </w:t>
      </w:r>
      <w:r w:rsidR="004C310F" w:rsidRPr="009F59A8">
        <w:t xml:space="preserve">preparatory and </w:t>
      </w:r>
      <w:r w:rsidR="004C310F" w:rsidRPr="009F59A8">
        <w:lastRenderedPageBreak/>
        <w:t xml:space="preserve">follow-up </w:t>
      </w:r>
      <w:r w:rsidRPr="009F59A8">
        <w:t>activities</w:t>
      </w:r>
      <w:r w:rsidR="004E47E8" w:rsidRPr="009F59A8">
        <w:t xml:space="preserve"> </w:t>
      </w:r>
      <w:r w:rsidR="00DC3ECA" w:rsidRPr="009F59A8">
        <w:t xml:space="preserve">so that </w:t>
      </w:r>
      <w:r w:rsidR="004E47E8" w:rsidRPr="009F59A8">
        <w:t>expectations</w:t>
      </w:r>
      <w:r w:rsidRPr="009F59A8">
        <w:t xml:space="preserve"> were fulfilled in a manner consistent with that </w:t>
      </w:r>
      <w:r w:rsidR="00DC3ECA" w:rsidRPr="009F59A8">
        <w:t xml:space="preserve">required </w:t>
      </w:r>
      <w:r w:rsidR="004E47E8" w:rsidRPr="009F59A8">
        <w:t xml:space="preserve">from </w:t>
      </w:r>
      <w:r w:rsidRPr="009F59A8">
        <w:t xml:space="preserve">key market infrastructure providers </w:t>
      </w:r>
    </w:p>
    <w:p w14:paraId="2ED6005C" w14:textId="77777777" w:rsidR="00C1543A" w:rsidRPr="009F59A8" w:rsidRDefault="004E47E8" w:rsidP="003E133F">
      <w:pPr>
        <w:pStyle w:val="ListParagraph"/>
        <w:numPr>
          <w:ilvl w:val="0"/>
          <w:numId w:val="3"/>
        </w:numPr>
        <w:spacing w:after="120" w:line="276" w:lineRule="auto"/>
        <w:contextualSpacing w:val="0"/>
      </w:pPr>
      <w:r w:rsidRPr="009F59A8">
        <w:t xml:space="preserve">the user forum </w:t>
      </w:r>
      <w:r w:rsidR="00DC3ECA" w:rsidRPr="009F59A8">
        <w:t xml:space="preserve">could be resourced based </w:t>
      </w:r>
      <w:r w:rsidR="002F7545" w:rsidRPr="009F59A8">
        <w:t xml:space="preserve">using one of </w:t>
      </w:r>
      <w:r w:rsidR="00C1543A" w:rsidRPr="009F59A8">
        <w:t>the following a</w:t>
      </w:r>
      <w:r w:rsidR="002F7545" w:rsidRPr="009F59A8">
        <w:t>pproache</w:t>
      </w:r>
      <w:r w:rsidR="00DC3ECA" w:rsidRPr="009F59A8">
        <w:t xml:space="preserve">s, based </w:t>
      </w:r>
      <w:r w:rsidR="00C1543A" w:rsidRPr="009F59A8">
        <w:t xml:space="preserve">on industry feedback with respect to desired outcomes: </w:t>
      </w:r>
    </w:p>
    <w:p w14:paraId="62D89B77" w14:textId="77777777" w:rsidR="00DC3ECA" w:rsidRPr="009F59A8" w:rsidRDefault="00DC3ECA" w:rsidP="00930949">
      <w:pPr>
        <w:pStyle w:val="ListParagraph"/>
        <w:numPr>
          <w:ilvl w:val="1"/>
          <w:numId w:val="3"/>
        </w:numPr>
        <w:spacing w:after="120" w:line="276" w:lineRule="auto"/>
        <w:contextualSpacing w:val="0"/>
      </w:pPr>
      <w:r w:rsidRPr="009F59A8">
        <w:t xml:space="preserve">administrative </w:t>
      </w:r>
      <w:r w:rsidR="00D03C29" w:rsidRPr="009F59A8">
        <w:t xml:space="preserve">support </w:t>
      </w:r>
      <w:r w:rsidRPr="009F59A8">
        <w:t>to collate</w:t>
      </w:r>
      <w:r w:rsidR="00C451E8" w:rsidRPr="009F59A8">
        <w:t xml:space="preserve">/ </w:t>
      </w:r>
      <w:r w:rsidRPr="009F59A8">
        <w:t xml:space="preserve">disseminate feedback </w:t>
      </w:r>
      <w:r w:rsidR="00DB5E60" w:rsidRPr="009F59A8">
        <w:t>and set up logistics</w:t>
      </w:r>
      <w:r w:rsidR="00C1543A" w:rsidRPr="009F59A8">
        <w:t xml:space="preserve">. The expected cost is €135k p.a. which includes a blended resource set, office, infrastructure and related administrative </w:t>
      </w:r>
      <w:r w:rsidR="006914E8" w:rsidRPr="009F59A8">
        <w:t xml:space="preserve">and financing </w:t>
      </w:r>
      <w:r w:rsidR="00C1543A" w:rsidRPr="009F59A8">
        <w:t xml:space="preserve">costs </w:t>
      </w:r>
      <w:r w:rsidR="00DB5E60" w:rsidRPr="009F59A8">
        <w:t xml:space="preserve">  </w:t>
      </w:r>
    </w:p>
    <w:p w14:paraId="2AD12077" w14:textId="77777777" w:rsidR="002F7545" w:rsidRPr="009F59A8" w:rsidRDefault="00C1543A" w:rsidP="00930949">
      <w:pPr>
        <w:pStyle w:val="ListParagraph"/>
        <w:numPr>
          <w:ilvl w:val="1"/>
          <w:numId w:val="3"/>
        </w:numPr>
        <w:spacing w:after="120" w:line="276" w:lineRule="auto"/>
        <w:contextualSpacing w:val="0"/>
      </w:pPr>
      <w:r w:rsidRPr="009F59A8">
        <w:t>a mix of administrative and some OTC derivative market experience to facilitate logistics and assist with product/service design. The expected cost is €190k p.a. which includes a blended resource set, office, infrastructure and related administrative</w:t>
      </w:r>
      <w:r w:rsidR="006914E8" w:rsidRPr="009F59A8">
        <w:t xml:space="preserve"> and financing</w:t>
      </w:r>
      <w:r w:rsidRPr="009F59A8">
        <w:t xml:space="preserve"> costs    </w:t>
      </w:r>
    </w:p>
    <w:p w14:paraId="33D72EDA" w14:textId="77777777" w:rsidR="00C1543A" w:rsidRPr="009F59A8" w:rsidRDefault="00C1543A" w:rsidP="00930949">
      <w:pPr>
        <w:pStyle w:val="ListParagraph"/>
        <w:numPr>
          <w:ilvl w:val="1"/>
          <w:numId w:val="3"/>
        </w:numPr>
        <w:spacing w:after="120" w:line="276" w:lineRule="auto"/>
        <w:contextualSpacing w:val="0"/>
      </w:pPr>
      <w:r w:rsidRPr="009F59A8">
        <w:t xml:space="preserve">a combination of </w:t>
      </w:r>
      <w:r w:rsidR="00DB5E60" w:rsidRPr="009F59A8">
        <w:t xml:space="preserve">resources with </w:t>
      </w:r>
      <w:r w:rsidRPr="009F59A8">
        <w:t xml:space="preserve">deep </w:t>
      </w:r>
      <w:r w:rsidR="00DB5E60" w:rsidRPr="009F59A8">
        <w:t xml:space="preserve">OTC derivative delivery and product development skills to expedite </w:t>
      </w:r>
      <w:r w:rsidRPr="009F59A8">
        <w:t xml:space="preserve">discussions and delivery, with proactive industry engagement. The expected cost is €230k p.a. which includes a blended resource set, office, infrastructure and related administrative </w:t>
      </w:r>
      <w:r w:rsidR="006914E8" w:rsidRPr="009F59A8">
        <w:t xml:space="preserve">and financing </w:t>
      </w:r>
      <w:r w:rsidRPr="009F59A8">
        <w:t xml:space="preserve">costs    </w:t>
      </w:r>
    </w:p>
    <w:p w14:paraId="612D2ED2" w14:textId="77777777" w:rsidR="00D37A3E" w:rsidRPr="009F59A8" w:rsidRDefault="00D37A3E" w:rsidP="00D37A3E">
      <w:pPr>
        <w:pStyle w:val="ListParagraph"/>
        <w:numPr>
          <w:ilvl w:val="0"/>
          <w:numId w:val="36"/>
        </w:numPr>
        <w:spacing w:after="120" w:line="276" w:lineRule="auto"/>
        <w:contextualSpacing w:val="0"/>
      </w:pPr>
      <w:r w:rsidRPr="009F59A8">
        <w:t xml:space="preserve">Do you support the creation of a dedicated user driven forum to investigate appetite for the design, deployment, maintenance and funding of functionality </w:t>
      </w:r>
      <w:r w:rsidR="00105BCC" w:rsidRPr="009F59A8">
        <w:t xml:space="preserve">including whether this should be </w:t>
      </w:r>
      <w:r w:rsidRPr="009F59A8">
        <w:t xml:space="preserve">outside the communal cost recovery ring-fence for general users? Core changes required to meet regulatory requirements would remain within the existing communal cost recovery ring-fence. </w:t>
      </w:r>
    </w:p>
    <w:p w14:paraId="1D6A0F06" w14:textId="77777777" w:rsidR="00C93FE7" w:rsidRPr="009F59A8" w:rsidRDefault="00C93FE7" w:rsidP="00C93FE7">
      <w:pPr>
        <w:pStyle w:val="ListParagraph"/>
        <w:numPr>
          <w:ilvl w:val="0"/>
          <w:numId w:val="36"/>
        </w:numPr>
        <w:spacing w:after="120" w:line="276" w:lineRule="auto"/>
        <w:contextualSpacing w:val="0"/>
      </w:pPr>
      <w:r w:rsidRPr="009F59A8">
        <w:t xml:space="preserve">If yes, do you agree with the goals of the suggested forum? </w:t>
      </w:r>
      <w:r w:rsidR="00C1543A" w:rsidRPr="009F59A8">
        <w:t xml:space="preserve">Please provide your rationale. </w:t>
      </w:r>
      <w:r w:rsidRPr="009F59A8">
        <w:t xml:space="preserve"> </w:t>
      </w:r>
    </w:p>
    <w:p w14:paraId="08CF1FC4" w14:textId="77777777" w:rsidR="00C93FE7" w:rsidRPr="009F59A8" w:rsidRDefault="00C93FE7" w:rsidP="00C93FE7">
      <w:pPr>
        <w:pStyle w:val="ListParagraph"/>
        <w:numPr>
          <w:ilvl w:val="0"/>
          <w:numId w:val="36"/>
        </w:numPr>
        <w:spacing w:after="120" w:line="276" w:lineRule="auto"/>
        <w:contextualSpacing w:val="0"/>
      </w:pPr>
      <w:r w:rsidRPr="009F59A8">
        <w:t xml:space="preserve">If yes, do you agree with the proposed composition, structure and format? </w:t>
      </w:r>
      <w:r w:rsidR="00C1543A" w:rsidRPr="009F59A8">
        <w:t>Please provide your rationale.</w:t>
      </w:r>
    </w:p>
    <w:p w14:paraId="0D0259BA" w14:textId="77777777" w:rsidR="00C93FE7" w:rsidRPr="009F59A8" w:rsidRDefault="0096533F" w:rsidP="0096533F">
      <w:pPr>
        <w:pStyle w:val="ListParagraph"/>
        <w:numPr>
          <w:ilvl w:val="0"/>
          <w:numId w:val="36"/>
        </w:numPr>
        <w:spacing w:after="120" w:line="276" w:lineRule="auto"/>
        <w:contextualSpacing w:val="0"/>
      </w:pPr>
      <w:r w:rsidRPr="009F59A8">
        <w:t xml:space="preserve">If yes, </w:t>
      </w:r>
      <w:r w:rsidR="00C1543A" w:rsidRPr="009F59A8">
        <w:t>which of the three skill sets (proposed above) do you believe is required to support the user forum’s goals?  Please provide your rationale.</w:t>
      </w:r>
    </w:p>
    <w:p w14:paraId="2E38FEE7" w14:textId="77777777" w:rsidR="001A544D" w:rsidRPr="009F59A8" w:rsidRDefault="00E60CB3" w:rsidP="003E133F">
      <w:pPr>
        <w:pStyle w:val="ListParagraph"/>
        <w:numPr>
          <w:ilvl w:val="0"/>
          <w:numId w:val="36"/>
        </w:numPr>
        <w:spacing w:after="120" w:line="276" w:lineRule="auto"/>
        <w:contextualSpacing w:val="0"/>
      </w:pPr>
      <w:r w:rsidRPr="009F59A8">
        <w:t xml:space="preserve">If yes, please </w:t>
      </w:r>
      <w:r w:rsidR="001A544D" w:rsidRPr="009F59A8">
        <w:t xml:space="preserve">supply any </w:t>
      </w:r>
      <w:r w:rsidRPr="009F59A8">
        <w:t xml:space="preserve">other </w:t>
      </w:r>
      <w:r w:rsidR="001A544D" w:rsidRPr="009F59A8">
        <w:t xml:space="preserve">views you may have about any specific model you wish to see implemented.  </w:t>
      </w:r>
    </w:p>
    <w:p w14:paraId="5B979E96" w14:textId="77777777" w:rsidR="0045505E" w:rsidRPr="009F59A8" w:rsidRDefault="00003892" w:rsidP="003E133F">
      <w:pPr>
        <w:pStyle w:val="ListParagraph"/>
        <w:numPr>
          <w:ilvl w:val="0"/>
          <w:numId w:val="36"/>
        </w:numPr>
        <w:spacing w:after="120" w:line="276" w:lineRule="auto"/>
        <w:contextualSpacing w:val="0"/>
      </w:pPr>
      <w:r w:rsidRPr="009F59A8">
        <w:t>If not, what model do you propose instead</w:t>
      </w:r>
      <w:r w:rsidR="00895C2A" w:rsidRPr="009F59A8">
        <w:t xml:space="preserve"> (if any)</w:t>
      </w:r>
      <w:r w:rsidRPr="009F59A8">
        <w:t xml:space="preserve">? </w:t>
      </w:r>
    </w:p>
    <w:p w14:paraId="62ABC2F2" w14:textId="77777777" w:rsidR="00C9051C" w:rsidRPr="009F59A8" w:rsidRDefault="00C9051C" w:rsidP="003E133F">
      <w:pPr>
        <w:pStyle w:val="ListParagraph"/>
        <w:spacing w:after="120" w:line="276" w:lineRule="auto"/>
        <w:contextualSpacing w:val="0"/>
      </w:pPr>
    </w:p>
    <w:p w14:paraId="7262B1AD" w14:textId="77777777" w:rsidR="009A1907" w:rsidRDefault="00DF4816" w:rsidP="00BD5583">
      <w:pPr>
        <w:pStyle w:val="ListParagraph"/>
        <w:numPr>
          <w:ilvl w:val="0"/>
          <w:numId w:val="29"/>
        </w:numPr>
        <w:spacing w:after="80" w:line="276" w:lineRule="auto"/>
        <w:contextualSpacing w:val="0"/>
      </w:pPr>
      <w:r w:rsidRPr="009F59A8">
        <w:t xml:space="preserve">Responsive enumeration management: </w:t>
      </w:r>
      <w:r w:rsidR="00D2668E" w:rsidRPr="009F59A8">
        <w:t xml:space="preserve">The DSB </w:t>
      </w:r>
      <w:r w:rsidR="006D62EA" w:rsidRPr="009F59A8">
        <w:t>can</w:t>
      </w:r>
      <w:r w:rsidR="00D2668E" w:rsidRPr="009F59A8">
        <w:t xml:space="preserve"> enable support for </w:t>
      </w:r>
      <w:r w:rsidR="009A1907" w:rsidRPr="009F59A8">
        <w:t>faster changes to</w:t>
      </w:r>
      <w:r w:rsidR="009A1907" w:rsidRPr="009A1907">
        <w:t xml:space="preserve"> product definition templates </w:t>
      </w:r>
      <w:r w:rsidR="00D2668E">
        <w:t xml:space="preserve">by </w:t>
      </w:r>
      <w:r w:rsidR="00267D23">
        <w:t xml:space="preserve">enabling changes to enumeration lists </w:t>
      </w:r>
      <w:r w:rsidR="0020673F">
        <w:t>during availability hours and</w:t>
      </w:r>
      <w:r w:rsidR="009A1907">
        <w:t xml:space="preserve"> without the need for industry to engage in a full cycle of redevelopment and testing efforts. </w:t>
      </w:r>
    </w:p>
    <w:p w14:paraId="4F472C0A" w14:textId="77777777" w:rsidR="008810E7" w:rsidRPr="004816C0" w:rsidRDefault="008810E7" w:rsidP="00BD5583">
      <w:pPr>
        <w:pStyle w:val="ListParagraph"/>
        <w:spacing w:after="120" w:line="276" w:lineRule="auto"/>
        <w:ind w:left="360"/>
        <w:contextualSpacing w:val="0"/>
      </w:pPr>
      <w:r>
        <w:t xml:space="preserve">The cumulative benefit for </w:t>
      </w:r>
      <w:r w:rsidR="00DF4816">
        <w:t xml:space="preserve">the DSB’s </w:t>
      </w:r>
      <w:r>
        <w:t xml:space="preserve">programmatic users is non-trivial with five recent market changes requiring updates to </w:t>
      </w:r>
      <w:r w:rsidRPr="004816C0">
        <w:t xml:space="preserve">approximately 1,200 templates in a three-month period. With each programmatic user spending on average two days developing and regression testing each </w:t>
      </w:r>
      <w:r>
        <w:t>enumeration change</w:t>
      </w:r>
      <w:r w:rsidRPr="004816C0">
        <w:t xml:space="preserve"> and a total of 78 Power Users</w:t>
      </w:r>
      <w:r>
        <w:t xml:space="preserve"> having to make changes</w:t>
      </w:r>
      <w:r w:rsidRPr="004816C0">
        <w:t>, th</w:t>
      </w:r>
      <w:r>
        <w:t>is</w:t>
      </w:r>
      <w:r w:rsidRPr="004816C0">
        <w:t xml:space="preserve"> translates to approximately 156 days of “lost” time per change, i.e. 780 “lost” days per quarter across all DSB programmatic users. Given that the current pace of industry change looks set to continue considering both benchmark related evolutions and ad-hoc currency re-denominations</w:t>
      </w:r>
      <w:r>
        <w:t xml:space="preserve"> (based </w:t>
      </w:r>
      <w:r>
        <w:lastRenderedPageBreak/>
        <w:t>on feedback received from users and regulators)</w:t>
      </w:r>
      <w:r w:rsidRPr="004816C0">
        <w:t xml:space="preserve">, proceeding with the </w:t>
      </w:r>
      <w:r w:rsidR="00DF4816">
        <w:t xml:space="preserve">proposed change </w:t>
      </w:r>
      <w:r w:rsidRPr="004816C0">
        <w:t xml:space="preserve">would result in industry </w:t>
      </w:r>
      <w:r w:rsidR="00DF4816">
        <w:t xml:space="preserve">saving </w:t>
      </w:r>
      <w:r w:rsidRPr="004816C0">
        <w:t xml:space="preserve">approximately 3,120 </w:t>
      </w:r>
      <w:r w:rsidR="00AE2BA2">
        <w:t xml:space="preserve">days of </w:t>
      </w:r>
      <w:r w:rsidRPr="004816C0">
        <w:t>work</w:t>
      </w:r>
      <w:r w:rsidR="00AE2BA2">
        <w:t xml:space="preserve"> effort </w:t>
      </w:r>
      <w:r w:rsidRPr="004816C0">
        <w:t xml:space="preserve">each year. </w:t>
      </w:r>
    </w:p>
    <w:p w14:paraId="78714E93" w14:textId="77777777" w:rsidR="00267D23" w:rsidRDefault="00267D23" w:rsidP="00A062F0">
      <w:pPr>
        <w:pStyle w:val="ListParagraph"/>
        <w:spacing w:after="120" w:line="276" w:lineRule="auto"/>
        <w:ind w:left="357"/>
        <w:contextualSpacing w:val="0"/>
      </w:pPr>
      <w:r>
        <w:t>The DSB anticipates that the</w:t>
      </w:r>
      <w:r w:rsidR="00300B74">
        <w:t xml:space="preserve"> DSB Product Committee</w:t>
      </w:r>
      <w:r>
        <w:t xml:space="preserve"> </w:t>
      </w:r>
      <w:r w:rsidR="00300B74">
        <w:t>(</w:t>
      </w:r>
      <w:r>
        <w:t>PC</w:t>
      </w:r>
      <w:r w:rsidR="00300B74">
        <w:t>)</w:t>
      </w:r>
      <w:r>
        <w:t xml:space="preserve"> and TAC respectively </w:t>
      </w:r>
      <w:r w:rsidR="006D62EA">
        <w:t xml:space="preserve">will </w:t>
      </w:r>
      <w:r>
        <w:t>be involved in the design of the required product template and technology implementations, to ensure an optimal implementation approach that meets industry needs.</w:t>
      </w:r>
    </w:p>
    <w:p w14:paraId="2DE06087" w14:textId="77777777" w:rsidR="008E2556" w:rsidRDefault="00267D23" w:rsidP="00A062F0">
      <w:pPr>
        <w:pStyle w:val="ListParagraph"/>
        <w:spacing w:after="120" w:line="276" w:lineRule="auto"/>
        <w:ind w:left="357"/>
        <w:contextualSpacing w:val="0"/>
      </w:pPr>
      <w:r>
        <w:t>Th</w:t>
      </w:r>
      <w:r w:rsidR="00DF4816">
        <w:t xml:space="preserve">e proposed </w:t>
      </w:r>
      <w:r w:rsidR="0011578C">
        <w:t xml:space="preserve">solution requires the DSB to </w:t>
      </w:r>
      <w:r w:rsidR="0020673F">
        <w:t xml:space="preserve">implement </w:t>
      </w:r>
      <w:r w:rsidR="0011578C">
        <w:t xml:space="preserve">product template changes whilst the system is live and operational and without incurring any downtime. </w:t>
      </w:r>
      <w:r w:rsidR="0020673F">
        <w:t xml:space="preserve">This requires significant architectural changes to the </w:t>
      </w:r>
      <w:r w:rsidR="0011578C">
        <w:t>ISIN engine</w:t>
      </w:r>
      <w:r w:rsidR="0020673F">
        <w:t xml:space="preserve"> as well as changes to deployment and monitoring systems and processes. </w:t>
      </w:r>
    </w:p>
    <w:p w14:paraId="13E3F017" w14:textId="77777777" w:rsidR="00267D23" w:rsidRDefault="00291247" w:rsidP="00DF4816">
      <w:pPr>
        <w:pStyle w:val="ListParagraph"/>
        <w:spacing w:after="120" w:line="276" w:lineRule="auto"/>
        <w:ind w:left="357"/>
        <w:contextualSpacing w:val="0"/>
      </w:pPr>
      <w:r>
        <w:t>The DSB estimates this will require re-working of the template structure across appx 180 templates to allow for dynamic enumerations. The cost is driven by design, documentation, development, QA and deployment effort</w:t>
      </w:r>
      <w:r w:rsidR="00DB6E6C">
        <w:t xml:space="preserve">. </w:t>
      </w:r>
      <w:r w:rsidR="0020673F">
        <w:t>The</w:t>
      </w:r>
      <w:r w:rsidR="0011578C">
        <w:t xml:space="preserve"> </w:t>
      </w:r>
      <w:r w:rsidR="00267D23">
        <w:t xml:space="preserve">DSB estimates build </w:t>
      </w:r>
      <w:r w:rsidR="00267D23" w:rsidRPr="009A1907">
        <w:t>cost</w:t>
      </w:r>
      <w:r w:rsidR="00267D23">
        <w:t>s</w:t>
      </w:r>
      <w:r w:rsidR="00267D23" w:rsidRPr="009A1907">
        <w:t xml:space="preserve"> </w:t>
      </w:r>
      <w:r w:rsidR="00492723">
        <w:t xml:space="preserve">within the communal cost recovery ring-fence </w:t>
      </w:r>
      <w:r w:rsidR="00267D23" w:rsidRPr="009A1907">
        <w:t xml:space="preserve">of </w:t>
      </w:r>
      <w:r w:rsidR="00492723">
        <w:t xml:space="preserve">€500K - </w:t>
      </w:r>
      <w:r w:rsidR="00267D23" w:rsidRPr="009A1907">
        <w:t>€750K</w:t>
      </w:r>
      <w:r w:rsidR="00267D23">
        <w:t xml:space="preserve"> </w:t>
      </w:r>
      <w:r w:rsidR="00492723">
        <w:t>depending on the implementation approach adopted</w:t>
      </w:r>
      <w:r w:rsidR="00267D23" w:rsidRPr="009A1907">
        <w:t xml:space="preserve"> </w:t>
      </w:r>
      <w:r w:rsidR="006D62EA">
        <w:t xml:space="preserve">but does not anticipate any </w:t>
      </w:r>
      <w:r w:rsidR="00267D23">
        <w:t>change to on-going run</w:t>
      </w:r>
      <w:r w:rsidR="00267D23" w:rsidRPr="009A1907">
        <w:t xml:space="preserve"> costs</w:t>
      </w:r>
      <w:r w:rsidR="00267D23">
        <w:t xml:space="preserve">. </w:t>
      </w:r>
      <w:r w:rsidR="006D62EA">
        <w:t>The financial impact</w:t>
      </w:r>
      <w:r w:rsidR="00267D23">
        <w:t xml:space="preserve"> </w:t>
      </w:r>
      <w:r w:rsidR="006D62EA">
        <w:t xml:space="preserve">is </w:t>
      </w:r>
      <w:r w:rsidR="00267D23">
        <w:t xml:space="preserve">an increase in annualised fees of </w:t>
      </w:r>
      <w:r w:rsidR="00492723">
        <w:t xml:space="preserve">€125K - </w:t>
      </w:r>
      <w:r w:rsidR="00267D23">
        <w:t xml:space="preserve">€187.5K for 4 years, whilst the build cost is amortized over a </w:t>
      </w:r>
      <w:r w:rsidR="00D71CB3">
        <w:t>4-year</w:t>
      </w:r>
      <w:r w:rsidR="00267D23">
        <w:t xml:space="preserve"> period, as per the existing </w:t>
      </w:r>
      <w:r w:rsidR="006D62EA">
        <w:t>accounting provision for the amortization of build costs</w:t>
      </w:r>
      <w:r w:rsidR="00267D23">
        <w:t>.</w:t>
      </w:r>
    </w:p>
    <w:p w14:paraId="2A7E5C0D" w14:textId="77777777" w:rsidR="00267D23" w:rsidRDefault="00267D23" w:rsidP="008B36CC">
      <w:pPr>
        <w:pStyle w:val="ListParagraph"/>
        <w:numPr>
          <w:ilvl w:val="0"/>
          <w:numId w:val="32"/>
        </w:numPr>
        <w:spacing w:after="120" w:line="276" w:lineRule="auto"/>
        <w:contextualSpacing w:val="0"/>
      </w:pPr>
      <w:r>
        <w:t>Do you concur with the implementation of this functionality in 2019</w:t>
      </w:r>
      <w:r w:rsidR="00573F8F">
        <w:t>, in particular given the significant amount of effort (and cumulative cost) saved by the industry</w:t>
      </w:r>
      <w:r>
        <w:t>?</w:t>
      </w:r>
    </w:p>
    <w:p w14:paraId="4C9E3351" w14:textId="77777777" w:rsidR="00D2668E" w:rsidRDefault="00BA21BB" w:rsidP="008B36CC">
      <w:pPr>
        <w:pStyle w:val="ListParagraph"/>
        <w:numPr>
          <w:ilvl w:val="0"/>
          <w:numId w:val="32"/>
        </w:numPr>
        <w:spacing w:after="120" w:line="276" w:lineRule="auto"/>
        <w:contextualSpacing w:val="0"/>
      </w:pPr>
      <w:r>
        <w:t>If the DSB implements this functionality, do you agree that the PC and TAC should be involved in the design of the product and technology solutions respectively? If not, please propose your alternative industry engagement model.</w:t>
      </w:r>
    </w:p>
    <w:p w14:paraId="6C238709" w14:textId="77777777" w:rsidR="009A1907" w:rsidRPr="009A1907" w:rsidRDefault="009A1907" w:rsidP="009A1907">
      <w:pPr>
        <w:pStyle w:val="ListParagraph"/>
        <w:spacing w:after="120" w:line="276" w:lineRule="auto"/>
        <w:ind w:left="714"/>
        <w:contextualSpacing w:val="0"/>
      </w:pPr>
      <w:r>
        <w:t xml:space="preserve">  </w:t>
      </w:r>
    </w:p>
    <w:p w14:paraId="2A005197" w14:textId="77777777" w:rsidR="005B290F" w:rsidRDefault="005B290F" w:rsidP="003E133F">
      <w:pPr>
        <w:pStyle w:val="ListParagraph"/>
        <w:numPr>
          <w:ilvl w:val="0"/>
          <w:numId w:val="29"/>
        </w:numPr>
        <w:spacing w:after="80" w:line="276" w:lineRule="auto"/>
        <w:contextualSpacing w:val="0"/>
      </w:pPr>
      <w:r>
        <w:t xml:space="preserve">The DSB received feedback to provide ISIN analytics in machine-downloadable format. </w:t>
      </w:r>
      <w:r w:rsidR="00772398">
        <w:t>Based on this feedback, t</w:t>
      </w:r>
      <w:r>
        <w:t xml:space="preserve">he DSB </w:t>
      </w:r>
      <w:r w:rsidR="00772398">
        <w:t>proposes</w:t>
      </w:r>
      <w:r>
        <w:t xml:space="preserve"> to provide the following analytics on a monthly basis:</w:t>
      </w:r>
    </w:p>
    <w:p w14:paraId="6946E84B" w14:textId="77777777" w:rsidR="005B290F" w:rsidRDefault="005B290F" w:rsidP="003E133F">
      <w:pPr>
        <w:pStyle w:val="ListParagraph"/>
        <w:numPr>
          <w:ilvl w:val="0"/>
          <w:numId w:val="40"/>
        </w:numPr>
        <w:spacing w:after="120" w:line="276" w:lineRule="auto"/>
        <w:contextualSpacing w:val="0"/>
      </w:pPr>
      <w:r>
        <w:t xml:space="preserve"># of ISIN creates per product template </w:t>
      </w:r>
    </w:p>
    <w:p w14:paraId="604A684D" w14:textId="77777777" w:rsidR="005B290F" w:rsidRDefault="005B290F" w:rsidP="003E133F">
      <w:pPr>
        <w:pStyle w:val="ListParagraph"/>
        <w:numPr>
          <w:ilvl w:val="0"/>
          <w:numId w:val="40"/>
        </w:numPr>
        <w:spacing w:after="120" w:line="276" w:lineRule="auto"/>
        <w:contextualSpacing w:val="0"/>
      </w:pPr>
      <w:r>
        <w:t xml:space="preserve"># of ISIN retrievals per product template </w:t>
      </w:r>
      <w:r w:rsidR="00772398">
        <w:t>(where ISIN is supplied)</w:t>
      </w:r>
    </w:p>
    <w:p w14:paraId="219030C2" w14:textId="77777777" w:rsidR="00772398" w:rsidRDefault="00772398" w:rsidP="003E133F">
      <w:pPr>
        <w:pStyle w:val="ListParagraph"/>
        <w:numPr>
          <w:ilvl w:val="0"/>
          <w:numId w:val="40"/>
        </w:numPr>
        <w:spacing w:after="120" w:line="276" w:lineRule="auto"/>
        <w:contextualSpacing w:val="0"/>
      </w:pPr>
      <w:r>
        <w:t># of ISIN searches across all product templates (search by metadata)</w:t>
      </w:r>
    </w:p>
    <w:p w14:paraId="33AB53B3" w14:textId="77777777" w:rsidR="00772398" w:rsidRDefault="00772398" w:rsidP="003E133F">
      <w:pPr>
        <w:pStyle w:val="ListParagraph"/>
        <w:numPr>
          <w:ilvl w:val="0"/>
          <w:numId w:val="40"/>
        </w:numPr>
        <w:spacing w:after="120" w:line="276" w:lineRule="auto"/>
        <w:contextualSpacing w:val="0"/>
      </w:pPr>
      <w:r>
        <w:t xml:space="preserve"># of ISIN creates per user fee category </w:t>
      </w:r>
    </w:p>
    <w:p w14:paraId="4EB6CFF8" w14:textId="77777777" w:rsidR="00772398" w:rsidRDefault="00772398" w:rsidP="003E133F">
      <w:pPr>
        <w:pStyle w:val="ListParagraph"/>
        <w:numPr>
          <w:ilvl w:val="0"/>
          <w:numId w:val="40"/>
        </w:numPr>
        <w:spacing w:after="120" w:line="276" w:lineRule="auto"/>
        <w:contextualSpacing w:val="0"/>
      </w:pPr>
      <w:r>
        <w:t># of ISIN retrievals per user fee category (where ISIN is supplied)</w:t>
      </w:r>
    </w:p>
    <w:p w14:paraId="5655440B" w14:textId="77777777" w:rsidR="00772398" w:rsidRDefault="00772398" w:rsidP="003E133F">
      <w:pPr>
        <w:pStyle w:val="ListParagraph"/>
        <w:numPr>
          <w:ilvl w:val="0"/>
          <w:numId w:val="40"/>
        </w:numPr>
        <w:spacing w:after="120" w:line="276" w:lineRule="auto"/>
        <w:contextualSpacing w:val="0"/>
      </w:pPr>
      <w:r>
        <w:t># of ISIN searches per user fee category (search by metadata)</w:t>
      </w:r>
    </w:p>
    <w:p w14:paraId="202049DE" w14:textId="77777777" w:rsidR="00772398" w:rsidRDefault="00772398" w:rsidP="003E133F">
      <w:pPr>
        <w:pStyle w:val="ListParagraph"/>
        <w:numPr>
          <w:ilvl w:val="0"/>
          <w:numId w:val="40"/>
        </w:numPr>
        <w:spacing w:after="120" w:line="276" w:lineRule="auto"/>
        <w:contextualSpacing w:val="0"/>
      </w:pPr>
      <w:r>
        <w:t xml:space="preserve"># of ISINs submitted to FIRDS per product template </w:t>
      </w:r>
    </w:p>
    <w:p w14:paraId="11BE8465" w14:textId="77777777" w:rsidR="00772398" w:rsidRDefault="00772398" w:rsidP="00A062F0">
      <w:pPr>
        <w:pStyle w:val="ListParagraph"/>
        <w:spacing w:after="120" w:line="276" w:lineRule="auto"/>
        <w:ind w:left="363"/>
        <w:contextualSpacing w:val="0"/>
      </w:pPr>
      <w:r>
        <w:t xml:space="preserve">DSB expectation is that such analytics can be provided at no incremental build or run cost, as long as the information is placed on the DSB web-site </w:t>
      </w:r>
      <w:r w:rsidR="00E24C77">
        <w:t xml:space="preserve">once a month, </w:t>
      </w:r>
      <w:r>
        <w:t>for user download in a csv file format.</w:t>
      </w:r>
    </w:p>
    <w:p w14:paraId="54E9D9C0" w14:textId="77777777" w:rsidR="005B290F" w:rsidRDefault="00E24C77" w:rsidP="00A062F0">
      <w:pPr>
        <w:pStyle w:val="ListParagraph"/>
        <w:numPr>
          <w:ilvl w:val="2"/>
          <w:numId w:val="5"/>
        </w:numPr>
        <w:spacing w:after="120" w:line="276" w:lineRule="auto"/>
        <w:ind w:left="723" w:hanging="360"/>
        <w:contextualSpacing w:val="0"/>
      </w:pPr>
      <w:r>
        <w:t xml:space="preserve">Is the proposed list of </w:t>
      </w:r>
      <w:r w:rsidR="00772398">
        <w:t xml:space="preserve">analytics </w:t>
      </w:r>
      <w:r>
        <w:t>appropriate</w:t>
      </w:r>
      <w:r w:rsidR="00772398">
        <w:t>? Please provide an explanation of your reasoning</w:t>
      </w:r>
      <w:r>
        <w:t xml:space="preserve"> for any changes you would like to see</w:t>
      </w:r>
    </w:p>
    <w:p w14:paraId="2A538A65" w14:textId="77777777" w:rsidR="00E24C77" w:rsidRDefault="00E24C77" w:rsidP="00A062F0">
      <w:pPr>
        <w:pStyle w:val="ListParagraph"/>
        <w:numPr>
          <w:ilvl w:val="2"/>
          <w:numId w:val="5"/>
        </w:numPr>
        <w:spacing w:after="120" w:line="276" w:lineRule="auto"/>
        <w:ind w:left="723" w:hanging="360"/>
        <w:contextualSpacing w:val="0"/>
      </w:pPr>
      <w:r>
        <w:lastRenderedPageBreak/>
        <w:t xml:space="preserve">Is the proposed monthly frequency of update appropriate? If not, please provide your reasoning, bearing in mind that more frequent updates may result in an incremental uplift in resource requirements </w:t>
      </w:r>
    </w:p>
    <w:p w14:paraId="61F110E4" w14:textId="77777777" w:rsidR="00E24C77" w:rsidRPr="00A062F0" w:rsidRDefault="00E24C77" w:rsidP="00A062F0">
      <w:pPr>
        <w:pStyle w:val="ListParagraph"/>
        <w:numPr>
          <w:ilvl w:val="2"/>
          <w:numId w:val="5"/>
        </w:numPr>
        <w:spacing w:after="120" w:line="276" w:lineRule="auto"/>
        <w:ind w:left="723" w:hanging="360"/>
        <w:contextualSpacing w:val="0"/>
      </w:pPr>
      <w:r>
        <w:t>Is the proposed delivery model of csv file download from the DSB website appropriate? If not, please provide an alternative alongside your reasoning.</w:t>
      </w:r>
    </w:p>
    <w:p w14:paraId="7821F09D" w14:textId="77777777" w:rsidR="0045505E" w:rsidRPr="0045505E" w:rsidRDefault="0045505E" w:rsidP="0045505E">
      <w:pPr>
        <w:spacing w:after="0" w:line="276" w:lineRule="auto"/>
        <w:rPr>
          <w:rFonts w:asciiTheme="majorHAnsi" w:eastAsiaTheme="majorEastAsia" w:hAnsiTheme="majorHAnsi" w:cstheme="majorBidi"/>
          <w:b/>
          <w:color w:val="1F4D78" w:themeColor="accent1" w:themeShade="7F"/>
          <w:sz w:val="24"/>
          <w:szCs w:val="24"/>
        </w:rPr>
      </w:pPr>
    </w:p>
    <w:p w14:paraId="4918A58E" w14:textId="77777777" w:rsidR="0045505E" w:rsidRDefault="0045505E">
      <w:pPr>
        <w:rPr>
          <w:rFonts w:asciiTheme="majorHAnsi" w:eastAsiaTheme="majorEastAsia" w:hAnsiTheme="majorHAnsi" w:cstheme="majorBidi"/>
          <w:b/>
          <w:color w:val="1F4D78" w:themeColor="accent1" w:themeShade="7F"/>
          <w:sz w:val="24"/>
          <w:szCs w:val="24"/>
        </w:rPr>
      </w:pPr>
      <w:r>
        <w:rPr>
          <w:b/>
        </w:rPr>
        <w:br w:type="page"/>
      </w:r>
    </w:p>
    <w:p w14:paraId="51940F6D" w14:textId="77777777" w:rsidR="00E24739" w:rsidRPr="00C36087" w:rsidRDefault="00E24739" w:rsidP="0099054C">
      <w:pPr>
        <w:pStyle w:val="Heading3"/>
        <w:spacing w:line="276" w:lineRule="auto"/>
        <w:rPr>
          <w:b/>
        </w:rPr>
      </w:pPr>
      <w:bookmarkStart w:id="17" w:name="_Toc517783480"/>
      <w:bookmarkStart w:id="18" w:name="_Toc517969368"/>
      <w:r w:rsidRPr="00C36087">
        <w:rPr>
          <w:b/>
        </w:rPr>
        <w:lastRenderedPageBreak/>
        <w:t>Service Levels:</w:t>
      </w:r>
      <w:bookmarkEnd w:id="17"/>
      <w:bookmarkEnd w:id="18"/>
      <w:r w:rsidRPr="00C36087">
        <w:rPr>
          <w:b/>
        </w:rPr>
        <w:t xml:space="preserve">  </w:t>
      </w:r>
    </w:p>
    <w:p w14:paraId="3820B671" w14:textId="77777777" w:rsidR="00DF2684" w:rsidRPr="00FD7EA7" w:rsidRDefault="00D309BC" w:rsidP="00DF2684">
      <w:pPr>
        <w:spacing w:before="120" w:after="80" w:line="276" w:lineRule="auto"/>
        <w:rPr>
          <w:u w:val="single"/>
        </w:rPr>
      </w:pPr>
      <w:r>
        <w:rPr>
          <w:u w:val="single"/>
        </w:rPr>
        <w:t>Synopsis of CP1 q</w:t>
      </w:r>
      <w:r w:rsidRPr="00FD7EA7">
        <w:rPr>
          <w:u w:val="single"/>
        </w:rPr>
        <w:t xml:space="preserve">uestions to </w:t>
      </w:r>
      <w:r w:rsidR="00DF2684" w:rsidRPr="00FD7EA7">
        <w:rPr>
          <w:u w:val="single"/>
        </w:rPr>
        <w:t>industry and responses received:</w:t>
      </w:r>
    </w:p>
    <w:p w14:paraId="5A03F1D4" w14:textId="77777777" w:rsidR="00CC2C95" w:rsidRDefault="00CC2C95" w:rsidP="00DF2684">
      <w:pPr>
        <w:spacing w:after="80" w:line="276" w:lineRule="auto"/>
      </w:pPr>
      <w:r>
        <w:t xml:space="preserve">Q13. Are you satisfied with the DSB’s current client service levels? If not, what more do you want the DSB to do? </w:t>
      </w:r>
    </w:p>
    <w:p w14:paraId="6461379E" w14:textId="77777777" w:rsidR="00CC2C95" w:rsidRDefault="00CC2C95" w:rsidP="00DF2684">
      <w:pPr>
        <w:spacing w:after="80" w:line="276" w:lineRule="auto"/>
      </w:pPr>
      <w:r>
        <w:t xml:space="preserve">Q14. Do you believe the DSB’s existing 99% SLA needs to be revisited? </w:t>
      </w:r>
    </w:p>
    <w:p w14:paraId="009F8DEE" w14:textId="77777777" w:rsidR="00CC2C95" w:rsidRDefault="00CC2C95" w:rsidP="00DF2684">
      <w:pPr>
        <w:spacing w:after="80" w:line="276" w:lineRule="auto"/>
      </w:pPr>
      <w:r>
        <w:t xml:space="preserve">Q15. Should the DSB seek become better integrated with industry and if so, how?  </w:t>
      </w:r>
    </w:p>
    <w:p w14:paraId="04149BA9" w14:textId="77777777" w:rsidR="00CC2C95" w:rsidRDefault="00CC2C95" w:rsidP="00DF2684">
      <w:pPr>
        <w:spacing w:after="80" w:line="276" w:lineRule="auto"/>
      </w:pPr>
      <w:r>
        <w:t xml:space="preserve">Q16. What additional information do you wish to see on the recently enhanced DSB website? </w:t>
      </w:r>
    </w:p>
    <w:p w14:paraId="25A45EB7" w14:textId="77777777" w:rsidR="00CC2C95" w:rsidRDefault="00CC2C95" w:rsidP="00DF2684">
      <w:pPr>
        <w:spacing w:after="80" w:line="276" w:lineRule="auto"/>
      </w:pPr>
      <w:r>
        <w:t xml:space="preserve">Q17. Do you believe the DSB should revisit its current availability hours? </w:t>
      </w:r>
    </w:p>
    <w:p w14:paraId="2DD259EC" w14:textId="77777777" w:rsidR="00CC2C95" w:rsidRDefault="00CC2C95" w:rsidP="00DF2684">
      <w:pPr>
        <w:spacing w:after="80" w:line="276" w:lineRule="auto"/>
      </w:pPr>
      <w:r>
        <w:t xml:space="preserve">Q18. Should the DSB visit its message streaming thresholds? </w:t>
      </w:r>
    </w:p>
    <w:p w14:paraId="79D07934" w14:textId="77777777" w:rsidR="00CC2C95" w:rsidRDefault="00CC2C95" w:rsidP="00DF2684">
      <w:pPr>
        <w:spacing w:after="80" w:line="276" w:lineRule="auto"/>
      </w:pPr>
      <w:r>
        <w:t xml:space="preserve">Q19. Should the DSB revisit its weekly caps for programmatic users? </w:t>
      </w:r>
    </w:p>
    <w:p w14:paraId="4DC6A681" w14:textId="77777777" w:rsidR="00CC2C95" w:rsidRDefault="00CC2C95" w:rsidP="00DF2684">
      <w:pPr>
        <w:spacing w:after="80" w:line="276" w:lineRule="auto"/>
      </w:pPr>
      <w:r>
        <w:t xml:space="preserve">Q20. What level of technical support do you wish to have outside of availability hours? </w:t>
      </w:r>
    </w:p>
    <w:p w14:paraId="58EE8697" w14:textId="77777777" w:rsidR="00DF2684" w:rsidRDefault="00614CF1" w:rsidP="00DF2684">
      <w:pPr>
        <w:spacing w:after="80" w:line="276" w:lineRule="auto"/>
      </w:pPr>
      <w:r>
        <w:rPr>
          <w:noProof/>
        </w:rPr>
        <w:drawing>
          <wp:inline distT="0" distB="0" distL="0" distR="0" wp14:anchorId="433A7C45" wp14:editId="35BE34AA">
            <wp:extent cx="5385816" cy="370332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85816" cy="3703320"/>
                    </a:xfrm>
                    <a:prstGeom prst="rect">
                      <a:avLst/>
                    </a:prstGeom>
                  </pic:spPr>
                </pic:pic>
              </a:graphicData>
            </a:graphic>
          </wp:inline>
        </w:drawing>
      </w:r>
    </w:p>
    <w:p w14:paraId="51AE45FE" w14:textId="77777777" w:rsidR="007006F1" w:rsidRPr="00C6426B" w:rsidRDefault="007006F1" w:rsidP="00D309BC">
      <w:pPr>
        <w:spacing w:after="120" w:line="276" w:lineRule="auto"/>
      </w:pPr>
      <w:r w:rsidRPr="00C6426B">
        <w:t xml:space="preserve">General consensus </w:t>
      </w:r>
      <w:r>
        <w:t>that</w:t>
      </w:r>
      <w:r w:rsidRPr="00C6426B">
        <w:t>:</w:t>
      </w:r>
    </w:p>
    <w:p w14:paraId="25BFF3C5" w14:textId="77777777" w:rsidR="007006F1" w:rsidRDefault="00DC072C" w:rsidP="00BD5583">
      <w:pPr>
        <w:pStyle w:val="ListParagraph"/>
        <w:numPr>
          <w:ilvl w:val="0"/>
          <w:numId w:val="3"/>
        </w:numPr>
        <w:spacing w:after="120" w:line="276" w:lineRule="auto"/>
        <w:ind w:left="360"/>
        <w:contextualSpacing w:val="0"/>
      </w:pPr>
      <w:r>
        <w:t xml:space="preserve">account managers are not required </w:t>
      </w:r>
      <w:r w:rsidR="007006F1">
        <w:t xml:space="preserve"> </w:t>
      </w:r>
    </w:p>
    <w:p w14:paraId="4FF7A5E1" w14:textId="77777777" w:rsidR="00DC072C" w:rsidRPr="00DC072C" w:rsidRDefault="00DC072C" w:rsidP="00BD5583">
      <w:pPr>
        <w:pStyle w:val="ListParagraph"/>
        <w:numPr>
          <w:ilvl w:val="0"/>
          <w:numId w:val="3"/>
        </w:numPr>
        <w:spacing w:after="120" w:line="276" w:lineRule="auto"/>
        <w:ind w:left="360"/>
        <w:contextualSpacing w:val="0"/>
      </w:pPr>
      <w:r>
        <w:t xml:space="preserve">current </w:t>
      </w:r>
      <w:r w:rsidRPr="00DC072C">
        <w:t xml:space="preserve">weekly availability hours </w:t>
      </w:r>
      <w:r w:rsidR="00CD1E8F">
        <w:t xml:space="preserve">do not need to be revised, although some users would like to see the DSB evolve to a 24/6.5 or 7/7 model </w:t>
      </w:r>
    </w:p>
    <w:p w14:paraId="6AA3965B" w14:textId="77777777" w:rsidR="00DC072C" w:rsidRDefault="00DC072C" w:rsidP="00BD5583">
      <w:pPr>
        <w:pStyle w:val="ListParagraph"/>
        <w:numPr>
          <w:ilvl w:val="0"/>
          <w:numId w:val="3"/>
        </w:numPr>
        <w:spacing w:after="120" w:line="276" w:lineRule="auto"/>
        <w:ind w:left="360"/>
        <w:contextualSpacing w:val="0"/>
      </w:pPr>
      <w:r>
        <w:t xml:space="preserve">holiday downtime should be eliminated </w:t>
      </w:r>
    </w:p>
    <w:p w14:paraId="20CC174C" w14:textId="77777777" w:rsidR="00D713D1" w:rsidRDefault="00D713D1" w:rsidP="00BD5583">
      <w:pPr>
        <w:pStyle w:val="ListParagraph"/>
        <w:numPr>
          <w:ilvl w:val="0"/>
          <w:numId w:val="3"/>
        </w:numPr>
        <w:spacing w:after="120" w:line="276" w:lineRule="auto"/>
        <w:ind w:left="360"/>
        <w:contextualSpacing w:val="0"/>
      </w:pPr>
      <w:r>
        <w:t xml:space="preserve">current invalid message caps </w:t>
      </w:r>
      <w:r w:rsidR="00483F51">
        <w:t xml:space="preserve">were appropriately set </w:t>
      </w:r>
    </w:p>
    <w:p w14:paraId="50A68A36" w14:textId="77777777" w:rsidR="00D309BC" w:rsidRDefault="00D309BC" w:rsidP="00BD5583">
      <w:pPr>
        <w:spacing w:after="120" w:line="276" w:lineRule="auto"/>
      </w:pPr>
    </w:p>
    <w:p w14:paraId="09114C85" w14:textId="77777777" w:rsidR="00572120" w:rsidRDefault="00572120" w:rsidP="00D309BC">
      <w:pPr>
        <w:spacing w:after="120" w:line="276" w:lineRule="auto"/>
      </w:pPr>
    </w:p>
    <w:p w14:paraId="20111E06" w14:textId="6FAE3417" w:rsidR="007006F1" w:rsidRDefault="007006F1" w:rsidP="00D309BC">
      <w:pPr>
        <w:spacing w:after="120" w:line="276" w:lineRule="auto"/>
      </w:pPr>
      <w:r>
        <w:lastRenderedPageBreak/>
        <w:t>Mixed opinion on:</w:t>
      </w:r>
    </w:p>
    <w:p w14:paraId="4BB98EF1" w14:textId="77777777" w:rsidR="001E0792" w:rsidRDefault="001E0792" w:rsidP="00BD5583">
      <w:pPr>
        <w:pStyle w:val="ListParagraph"/>
        <w:numPr>
          <w:ilvl w:val="0"/>
          <w:numId w:val="3"/>
        </w:numPr>
        <w:spacing w:after="120" w:line="276" w:lineRule="auto"/>
        <w:ind w:left="360"/>
        <w:contextualSpacing w:val="0"/>
      </w:pPr>
      <w:r>
        <w:t xml:space="preserve">the need for </w:t>
      </w:r>
      <w:r w:rsidR="00D713D1">
        <w:t xml:space="preserve">existing service levels should change </w:t>
      </w:r>
    </w:p>
    <w:p w14:paraId="28AD8753" w14:textId="77777777" w:rsidR="007006F1" w:rsidRDefault="001E0792" w:rsidP="00BD5583">
      <w:pPr>
        <w:pStyle w:val="ListParagraph"/>
        <w:numPr>
          <w:ilvl w:val="0"/>
          <w:numId w:val="3"/>
        </w:numPr>
        <w:spacing w:after="120" w:line="276" w:lineRule="auto"/>
        <w:ind w:left="360"/>
        <w:contextualSpacing w:val="0"/>
      </w:pPr>
      <w:r>
        <w:t xml:space="preserve">the need for </w:t>
      </w:r>
      <w:r w:rsidR="00D713D1">
        <w:t xml:space="preserve">phone </w:t>
      </w:r>
      <w:r>
        <w:t xml:space="preserve">based technical and product </w:t>
      </w:r>
      <w:r w:rsidR="00D713D1">
        <w:t xml:space="preserve">support </w:t>
      </w:r>
    </w:p>
    <w:p w14:paraId="242D317A" w14:textId="77777777" w:rsidR="00D713D1" w:rsidRDefault="005B1FC8" w:rsidP="00BD5583">
      <w:pPr>
        <w:pStyle w:val="ListParagraph"/>
        <w:numPr>
          <w:ilvl w:val="0"/>
          <w:numId w:val="3"/>
        </w:numPr>
        <w:spacing w:after="120" w:line="276" w:lineRule="auto"/>
        <w:ind w:left="360"/>
        <w:contextualSpacing w:val="0"/>
      </w:pPr>
      <w:r>
        <w:t>t</w:t>
      </w:r>
      <w:r w:rsidR="00D713D1">
        <w:t xml:space="preserve">he need for and direction of any changes to the existing latency SLA </w:t>
      </w:r>
    </w:p>
    <w:p w14:paraId="74CFE33E" w14:textId="77777777" w:rsidR="00D713D1" w:rsidRDefault="005B1FC8" w:rsidP="00BD5583">
      <w:pPr>
        <w:pStyle w:val="ListParagraph"/>
        <w:numPr>
          <w:ilvl w:val="0"/>
          <w:numId w:val="3"/>
        </w:numPr>
        <w:spacing w:after="120" w:line="276" w:lineRule="auto"/>
        <w:ind w:left="360"/>
        <w:contextualSpacing w:val="0"/>
      </w:pPr>
      <w:r>
        <w:t>t</w:t>
      </w:r>
      <w:r w:rsidR="00D713D1">
        <w:t xml:space="preserve">he need for any review of throughput or weekly volume caps </w:t>
      </w:r>
    </w:p>
    <w:p w14:paraId="664DBE21" w14:textId="77777777" w:rsidR="005B1FC8" w:rsidRPr="00C6426B" w:rsidRDefault="001E0792" w:rsidP="00BD5583">
      <w:pPr>
        <w:pStyle w:val="ListParagraph"/>
        <w:numPr>
          <w:ilvl w:val="0"/>
          <w:numId w:val="3"/>
        </w:numPr>
        <w:spacing w:after="120" w:line="276" w:lineRule="auto"/>
        <w:ind w:left="360"/>
        <w:contextualSpacing w:val="0"/>
      </w:pPr>
      <w:r>
        <w:t xml:space="preserve">the need for </w:t>
      </w:r>
      <w:r w:rsidR="005B1FC8">
        <w:t xml:space="preserve">technical support monitoring </w:t>
      </w:r>
      <w:r>
        <w:t>o</w:t>
      </w:r>
      <w:r w:rsidR="005B1FC8">
        <w:t xml:space="preserve">utside of DSB availability hours </w:t>
      </w:r>
    </w:p>
    <w:p w14:paraId="4F83D486" w14:textId="77777777" w:rsidR="0078415F" w:rsidRDefault="0078415F" w:rsidP="00C30612">
      <w:pPr>
        <w:pStyle w:val="ListParagraph"/>
        <w:numPr>
          <w:ilvl w:val="0"/>
          <w:numId w:val="3"/>
        </w:numPr>
        <w:spacing w:after="120" w:line="276" w:lineRule="auto"/>
        <w:ind w:left="360" w:hanging="357"/>
        <w:contextualSpacing w:val="0"/>
      </w:pPr>
      <w:r>
        <w:t xml:space="preserve">Some respondents indicated that the following would be helpful, thus fuelling the possible need for user specific </w:t>
      </w:r>
      <w:r w:rsidR="00DF78F2">
        <w:t>discussions.</w:t>
      </w:r>
      <w:r>
        <w:t xml:space="preserve"> Specific requests for the following arose:</w:t>
      </w:r>
    </w:p>
    <w:p w14:paraId="0F7CFF09" w14:textId="77777777" w:rsidR="007006F1" w:rsidRDefault="00CE52EC" w:rsidP="003E133F">
      <w:pPr>
        <w:pStyle w:val="ListParagraph"/>
        <w:numPr>
          <w:ilvl w:val="0"/>
          <w:numId w:val="38"/>
        </w:numPr>
        <w:spacing w:after="120" w:line="276" w:lineRule="auto"/>
        <w:contextualSpacing w:val="0"/>
      </w:pPr>
      <w:r>
        <w:t xml:space="preserve">the creation of industry working groups to work on product and service evolution </w:t>
      </w:r>
      <w:r w:rsidR="008E3329">
        <w:t xml:space="preserve">and provide regular touch-points </w:t>
      </w:r>
    </w:p>
    <w:p w14:paraId="4950B464" w14:textId="77777777" w:rsidR="00A51FED" w:rsidRDefault="00A51FED" w:rsidP="003E133F">
      <w:pPr>
        <w:pStyle w:val="ListParagraph"/>
        <w:numPr>
          <w:ilvl w:val="0"/>
          <w:numId w:val="38"/>
        </w:numPr>
        <w:spacing w:after="120" w:line="276" w:lineRule="auto"/>
        <w:contextualSpacing w:val="0"/>
      </w:pPr>
      <w:r>
        <w:t xml:space="preserve">the provision of an alternative API to allow for the backfill of selective attributes for ISIN records that have already been consumed </w:t>
      </w:r>
    </w:p>
    <w:p w14:paraId="38253C0B" w14:textId="77777777" w:rsidR="008E3329" w:rsidRDefault="00CE52EC" w:rsidP="003E133F">
      <w:pPr>
        <w:pStyle w:val="ListParagraph"/>
        <w:numPr>
          <w:ilvl w:val="0"/>
          <w:numId w:val="38"/>
        </w:numPr>
        <w:spacing w:after="120" w:line="276" w:lineRule="auto"/>
        <w:contextualSpacing w:val="0"/>
      </w:pPr>
      <w:r>
        <w:t xml:space="preserve">faster email response times </w:t>
      </w:r>
    </w:p>
    <w:p w14:paraId="077D3210" w14:textId="77777777" w:rsidR="00CE52EC" w:rsidRDefault="008E3329" w:rsidP="003E133F">
      <w:pPr>
        <w:pStyle w:val="ListParagraph"/>
        <w:numPr>
          <w:ilvl w:val="0"/>
          <w:numId w:val="38"/>
        </w:numPr>
        <w:spacing w:after="120" w:line="276" w:lineRule="auto"/>
        <w:contextualSpacing w:val="0"/>
      </w:pPr>
      <w:r>
        <w:t xml:space="preserve">the provision of a </w:t>
      </w:r>
      <w:r w:rsidR="00CE52EC">
        <w:t xml:space="preserve">ticketing service to </w:t>
      </w:r>
      <w:r>
        <w:t xml:space="preserve">assist users with tracking open queries </w:t>
      </w:r>
    </w:p>
    <w:p w14:paraId="68F64EE6" w14:textId="77777777" w:rsidR="003E2BCA" w:rsidRDefault="003E2BCA" w:rsidP="003E133F">
      <w:pPr>
        <w:pStyle w:val="ListParagraph"/>
        <w:numPr>
          <w:ilvl w:val="0"/>
          <w:numId w:val="38"/>
        </w:numPr>
        <w:spacing w:after="120" w:line="276" w:lineRule="auto"/>
        <w:contextualSpacing w:val="0"/>
      </w:pPr>
      <w:r>
        <w:t xml:space="preserve">the </w:t>
      </w:r>
      <w:r w:rsidR="00CD1E8F">
        <w:t xml:space="preserve">documentation and publication of </w:t>
      </w:r>
      <w:r>
        <w:t xml:space="preserve">verified use and test cases for templates </w:t>
      </w:r>
    </w:p>
    <w:p w14:paraId="4C3DCB82" w14:textId="77777777" w:rsidR="006F0A30" w:rsidRDefault="006F0A30" w:rsidP="00C30612">
      <w:pPr>
        <w:pStyle w:val="ListParagraph"/>
        <w:numPr>
          <w:ilvl w:val="0"/>
          <w:numId w:val="3"/>
        </w:numPr>
        <w:spacing w:after="120" w:line="276" w:lineRule="auto"/>
        <w:ind w:left="360" w:hanging="357"/>
        <w:contextualSpacing w:val="0"/>
      </w:pPr>
      <w:r>
        <w:t>Improved integration with industry fora:</w:t>
      </w:r>
    </w:p>
    <w:p w14:paraId="79B52106" w14:textId="77777777" w:rsidR="003E0572" w:rsidRDefault="006F0A30" w:rsidP="003E133F">
      <w:pPr>
        <w:pStyle w:val="ListParagraph"/>
        <w:numPr>
          <w:ilvl w:val="0"/>
          <w:numId w:val="38"/>
        </w:numPr>
        <w:spacing w:after="120" w:line="276" w:lineRule="auto"/>
        <w:contextualSpacing w:val="0"/>
      </w:pPr>
      <w:r>
        <w:t>Several</w:t>
      </w:r>
      <w:r w:rsidR="00A7561A">
        <w:t xml:space="preserve"> re</w:t>
      </w:r>
      <w:r w:rsidR="008E3329">
        <w:t xml:space="preserve">quests </w:t>
      </w:r>
      <w:r w:rsidR="00A7561A">
        <w:t xml:space="preserve">were made to enable </w:t>
      </w:r>
      <w:r w:rsidR="008E3329">
        <w:t xml:space="preserve">broader industry </w:t>
      </w:r>
      <w:r w:rsidR="00A7561A">
        <w:t xml:space="preserve">representation </w:t>
      </w:r>
      <w:r w:rsidR="008E3329">
        <w:t xml:space="preserve">in the </w:t>
      </w:r>
      <w:r w:rsidR="00DF0C4E">
        <w:t xml:space="preserve">PC </w:t>
      </w:r>
      <w:r>
        <w:t>to enable improved integration with industry</w:t>
      </w:r>
      <w:r w:rsidR="00DF0C4E">
        <w:t xml:space="preserve">. As a reminder, the PC is currently comprised of an equal number of representatives from the buy-side, sell-side and trading venues  </w:t>
      </w:r>
    </w:p>
    <w:p w14:paraId="34C0EB7A" w14:textId="77777777" w:rsidR="008E3329" w:rsidRDefault="006F0A30" w:rsidP="003E133F">
      <w:pPr>
        <w:pStyle w:val="ListParagraph"/>
        <w:numPr>
          <w:ilvl w:val="0"/>
          <w:numId w:val="38"/>
        </w:numPr>
        <w:spacing w:after="120" w:line="276" w:lineRule="auto"/>
        <w:contextualSpacing w:val="0"/>
      </w:pPr>
      <w:r>
        <w:t xml:space="preserve">A recommendation was also made that the DSB </w:t>
      </w:r>
      <w:r w:rsidR="007C719C">
        <w:t xml:space="preserve">not become a member of trade associations </w:t>
      </w:r>
      <w:r w:rsidR="00CD1E8F">
        <w:t>but</w:t>
      </w:r>
      <w:r w:rsidR="007C719C">
        <w:t xml:space="preserve"> instead </w:t>
      </w:r>
      <w:r>
        <w:t xml:space="preserve">reach out to </w:t>
      </w:r>
      <w:r w:rsidR="007C719C">
        <w:t xml:space="preserve">the various bodies </w:t>
      </w:r>
      <w:r>
        <w:t>asking if the DSB can monitor the output of deliberations of various derivatives working groups</w:t>
      </w:r>
      <w:r w:rsidR="007C719C">
        <w:t xml:space="preserve"> on an ongoing basis </w:t>
      </w:r>
    </w:p>
    <w:p w14:paraId="68166A61" w14:textId="77777777" w:rsidR="003E2BCA" w:rsidRDefault="003E2BCA" w:rsidP="00C30612">
      <w:pPr>
        <w:pStyle w:val="ListParagraph"/>
        <w:numPr>
          <w:ilvl w:val="0"/>
          <w:numId w:val="3"/>
        </w:numPr>
        <w:spacing w:after="120" w:line="276" w:lineRule="auto"/>
        <w:ind w:left="360" w:hanging="357"/>
        <w:contextualSpacing w:val="0"/>
      </w:pPr>
      <w:r>
        <w:t xml:space="preserve">Feedback was also received about the request for additional financial, audit and governance information to be made available on the website. As indicated earlier in the document, audited reports will be </w:t>
      </w:r>
      <w:r w:rsidR="0079608B">
        <w:t>available</w:t>
      </w:r>
      <w:r>
        <w:t xml:space="preserve"> once these </w:t>
      </w:r>
      <w:r w:rsidR="0079608B">
        <w:t>have been completed</w:t>
      </w:r>
      <w:r>
        <w:t xml:space="preserve">, with the deliberations of the </w:t>
      </w:r>
      <w:hyperlink r:id="rId18" w:history="1">
        <w:r w:rsidRPr="00A52BFF">
          <w:rPr>
            <w:rStyle w:val="Hyperlink"/>
          </w:rPr>
          <w:t xml:space="preserve">Product Committee </w:t>
        </w:r>
        <w:r w:rsidR="0079608B" w:rsidRPr="00A52BFF">
          <w:rPr>
            <w:rStyle w:val="Hyperlink"/>
          </w:rPr>
          <w:t>via meeting minutes</w:t>
        </w:r>
      </w:hyperlink>
      <w:r>
        <w:t xml:space="preserve"> already available and </w:t>
      </w:r>
      <w:r w:rsidR="00DF0C4E">
        <w:t xml:space="preserve">recordings of the TAC to follow </w:t>
      </w:r>
      <w:r w:rsidR="00D71CB3">
        <w:t>once</w:t>
      </w:r>
      <w:r w:rsidR="00DF0C4E">
        <w:t xml:space="preserve"> the inaugural meeting is held </w:t>
      </w:r>
    </w:p>
    <w:p w14:paraId="3EFBFAE2" w14:textId="77777777" w:rsidR="007006F1" w:rsidRDefault="007006F1" w:rsidP="00C30612">
      <w:pPr>
        <w:pStyle w:val="ListParagraph"/>
        <w:numPr>
          <w:ilvl w:val="0"/>
          <w:numId w:val="3"/>
        </w:numPr>
        <w:spacing w:after="120" w:line="276" w:lineRule="auto"/>
        <w:ind w:left="360" w:hanging="357"/>
        <w:contextualSpacing w:val="0"/>
      </w:pPr>
      <w:r>
        <w:t xml:space="preserve">Detailed feedback on is provided as part of the TAC presentation, </w:t>
      </w:r>
      <w:hyperlink r:id="rId19" w:history="1">
        <w:r w:rsidRPr="00FD2D78">
          <w:rPr>
            <w:rStyle w:val="Hyperlink"/>
          </w:rPr>
          <w:t>available here</w:t>
        </w:r>
      </w:hyperlink>
    </w:p>
    <w:p w14:paraId="63D47C4D" w14:textId="77777777" w:rsidR="00CC5CFC" w:rsidRDefault="00CC5CFC" w:rsidP="00CC5CFC">
      <w:pPr>
        <w:pStyle w:val="ListParagraph"/>
        <w:spacing w:after="120" w:line="276" w:lineRule="auto"/>
        <w:ind w:left="360"/>
        <w:contextualSpacing w:val="0"/>
      </w:pPr>
    </w:p>
    <w:p w14:paraId="69B18BC2" w14:textId="77777777" w:rsidR="00DF2684" w:rsidRPr="00443E63" w:rsidRDefault="00DF2684" w:rsidP="00DF2684">
      <w:pPr>
        <w:spacing w:before="120" w:after="80" w:line="276" w:lineRule="auto"/>
        <w:rPr>
          <w:u w:val="single"/>
        </w:rPr>
      </w:pPr>
      <w:r w:rsidRPr="000B5C16">
        <w:rPr>
          <w:u w:val="single"/>
        </w:rPr>
        <w:t>DSB Decision</w:t>
      </w:r>
      <w:r w:rsidRPr="00443E63">
        <w:rPr>
          <w:u w:val="single"/>
        </w:rPr>
        <w:t xml:space="preserve">: </w:t>
      </w:r>
    </w:p>
    <w:p w14:paraId="5B4B7FFF" w14:textId="77777777" w:rsidR="009C03C6" w:rsidRDefault="009C03C6" w:rsidP="003E133F">
      <w:pPr>
        <w:pStyle w:val="ListParagraph"/>
        <w:numPr>
          <w:ilvl w:val="0"/>
          <w:numId w:val="41"/>
        </w:numPr>
        <w:spacing w:after="80" w:line="276" w:lineRule="auto"/>
        <w:contextualSpacing w:val="0"/>
      </w:pPr>
      <w:r>
        <w:t xml:space="preserve">Review </w:t>
      </w:r>
      <w:r w:rsidR="00A91512">
        <w:t xml:space="preserve">structure and format of the Product Committee on completion of the current term in December 2018, to facilitate participation from a broader industry group to represent the diversity of the </w:t>
      </w:r>
      <w:r w:rsidR="00C0784B">
        <w:t xml:space="preserve">DSB </w:t>
      </w:r>
      <w:r w:rsidR="00A91512">
        <w:t>user base</w:t>
      </w:r>
      <w:r w:rsidR="00CD1E8F">
        <w:t xml:space="preserve">. The model would likely build on the approach taken by the TAC committee, with detailed design based on further discussions with industry </w:t>
      </w:r>
      <w:r w:rsidR="00A91512">
        <w:t xml:space="preserve"> </w:t>
      </w:r>
    </w:p>
    <w:p w14:paraId="7A7A3067" w14:textId="77777777" w:rsidR="003E0572" w:rsidRDefault="003E0572" w:rsidP="003E133F">
      <w:pPr>
        <w:pStyle w:val="ListParagraph"/>
        <w:numPr>
          <w:ilvl w:val="0"/>
          <w:numId w:val="41"/>
        </w:numPr>
        <w:spacing w:after="80" w:line="276" w:lineRule="auto"/>
        <w:contextualSpacing w:val="0"/>
      </w:pPr>
      <w:r>
        <w:t xml:space="preserve">Seek industry guidance on the appropriate industry fora that the DSB should reach out to </w:t>
      </w:r>
      <w:r w:rsidR="00F32283">
        <w:t xml:space="preserve">in an effort to monitor the output of various industry working groups </w:t>
      </w:r>
    </w:p>
    <w:p w14:paraId="3C9FC64C" w14:textId="77777777" w:rsidR="00C0784B" w:rsidRDefault="009C03C6" w:rsidP="003E133F">
      <w:pPr>
        <w:pStyle w:val="ListParagraph"/>
        <w:numPr>
          <w:ilvl w:val="0"/>
          <w:numId w:val="41"/>
        </w:numPr>
        <w:spacing w:after="80" w:line="276" w:lineRule="auto"/>
        <w:contextualSpacing w:val="0"/>
      </w:pPr>
      <w:r>
        <w:lastRenderedPageBreak/>
        <w:t xml:space="preserve">Seek </w:t>
      </w:r>
      <w:r w:rsidR="00F734DF">
        <w:t>industry</w:t>
      </w:r>
      <w:r>
        <w:t xml:space="preserve"> guidance on </w:t>
      </w:r>
      <w:r w:rsidR="00C0784B">
        <w:t xml:space="preserve">the technical and operational architecture required to facilitate the abolition of holiday downtime </w:t>
      </w:r>
    </w:p>
    <w:p w14:paraId="58871438" w14:textId="77777777" w:rsidR="00EF6A30" w:rsidRDefault="00C0784B" w:rsidP="003E133F">
      <w:pPr>
        <w:pStyle w:val="ListParagraph"/>
        <w:numPr>
          <w:ilvl w:val="0"/>
          <w:numId w:val="41"/>
        </w:numPr>
        <w:spacing w:after="80" w:line="276" w:lineRule="auto"/>
        <w:contextualSpacing w:val="0"/>
      </w:pPr>
      <w:r>
        <w:t xml:space="preserve">Seek </w:t>
      </w:r>
      <w:r w:rsidR="00F734DF">
        <w:t>industry</w:t>
      </w:r>
      <w:r>
        <w:t xml:space="preserve"> guidance on </w:t>
      </w:r>
      <w:r w:rsidR="009C03C6">
        <w:t>feedback relating to the need for changes to</w:t>
      </w:r>
      <w:r>
        <w:t xml:space="preserve"> </w:t>
      </w:r>
      <w:r w:rsidR="0053279C">
        <w:t xml:space="preserve">holiday downtime, and support models </w:t>
      </w:r>
    </w:p>
    <w:p w14:paraId="511F948A" w14:textId="77777777" w:rsidR="00EF6A30" w:rsidRDefault="00EF6A30" w:rsidP="003E133F">
      <w:pPr>
        <w:pStyle w:val="ListParagraph"/>
        <w:numPr>
          <w:ilvl w:val="0"/>
          <w:numId w:val="41"/>
        </w:numPr>
        <w:spacing w:after="80" w:line="276" w:lineRule="auto"/>
        <w:contextualSpacing w:val="0"/>
      </w:pPr>
      <w:r>
        <w:t>Proceed with the proposed Performance SLA refinement, involving the separation of</w:t>
      </w:r>
      <w:r w:rsidR="0053279C">
        <w:t xml:space="preserve"> </w:t>
      </w:r>
      <w:r w:rsidR="00CD0061">
        <w:t xml:space="preserve">performance </w:t>
      </w:r>
      <w:r>
        <w:t>metrics for each workflow</w:t>
      </w:r>
    </w:p>
    <w:p w14:paraId="43925710" w14:textId="77777777" w:rsidR="00C0784B" w:rsidRDefault="00EF6A30" w:rsidP="003E133F">
      <w:pPr>
        <w:pStyle w:val="ListParagraph"/>
        <w:numPr>
          <w:ilvl w:val="0"/>
          <w:numId w:val="41"/>
        </w:numPr>
        <w:spacing w:after="80" w:line="276" w:lineRule="auto"/>
        <w:contextualSpacing w:val="0"/>
      </w:pPr>
      <w:r>
        <w:t>Seek industry guidance on acceptable use limits for</w:t>
      </w:r>
      <w:r w:rsidR="00A51FED">
        <w:t xml:space="preserve"> </w:t>
      </w:r>
      <w:r w:rsidR="0053279C">
        <w:t xml:space="preserve">burst </w:t>
      </w:r>
      <w:r w:rsidR="00A51FED">
        <w:t>rates</w:t>
      </w:r>
      <w:r>
        <w:t xml:space="preserve"> and</w:t>
      </w:r>
      <w:r w:rsidR="00A51FED">
        <w:t xml:space="preserve"> </w:t>
      </w:r>
      <w:r w:rsidR="0053279C">
        <w:t>weekly throughput levels</w:t>
      </w:r>
    </w:p>
    <w:p w14:paraId="6022CDFD" w14:textId="77777777" w:rsidR="00C03026" w:rsidRDefault="00C03026" w:rsidP="003E133F">
      <w:pPr>
        <w:pStyle w:val="ListParagraph"/>
        <w:numPr>
          <w:ilvl w:val="0"/>
          <w:numId w:val="41"/>
        </w:numPr>
        <w:spacing w:after="80" w:line="276" w:lineRule="auto"/>
        <w:contextualSpacing w:val="0"/>
      </w:pPr>
      <w:r>
        <w:t xml:space="preserve">Publish audited financial accounts following the DSB’s first full year of operation. An overview of the cost base underlying 2017-18 Invoicing Period is provided in </w:t>
      </w:r>
      <w:r w:rsidR="0079608B">
        <w:t>Appendix</w:t>
      </w:r>
      <w:r>
        <w:t xml:space="preserve"> 1 of this document </w:t>
      </w:r>
    </w:p>
    <w:p w14:paraId="32454032" w14:textId="77777777" w:rsidR="00C03026" w:rsidRDefault="001D648E" w:rsidP="003E133F">
      <w:pPr>
        <w:pStyle w:val="ListParagraph"/>
        <w:numPr>
          <w:ilvl w:val="0"/>
          <w:numId w:val="41"/>
        </w:numPr>
        <w:spacing w:after="80" w:line="276" w:lineRule="auto"/>
        <w:contextualSpacing w:val="0"/>
      </w:pPr>
      <w:r>
        <w:t>Make available the ISAE3402</w:t>
      </w:r>
      <w:r w:rsidR="00C03026" w:rsidRPr="006D7562">
        <w:t xml:space="preserve"> report of the </w:t>
      </w:r>
      <w:r w:rsidR="00C03026">
        <w:t xml:space="preserve">third-party assurance audit to users </w:t>
      </w:r>
      <w:r w:rsidR="00C946D3">
        <w:t>once completed</w:t>
      </w:r>
    </w:p>
    <w:p w14:paraId="25BC9D7A" w14:textId="77777777" w:rsidR="00A274A2" w:rsidRDefault="00A274A2" w:rsidP="00A274A2">
      <w:pPr>
        <w:pStyle w:val="ListParagraph"/>
        <w:spacing w:after="80" w:line="276" w:lineRule="auto"/>
        <w:contextualSpacing w:val="0"/>
      </w:pPr>
    </w:p>
    <w:p w14:paraId="4FF20698" w14:textId="77777777" w:rsidR="00DF2684" w:rsidRPr="000B5C16" w:rsidRDefault="00DF2684" w:rsidP="00DF2684">
      <w:pPr>
        <w:spacing w:before="120" w:after="80" w:line="276" w:lineRule="auto"/>
        <w:rPr>
          <w:u w:val="single"/>
        </w:rPr>
      </w:pPr>
      <w:r w:rsidRPr="000B5C16">
        <w:rPr>
          <w:u w:val="single"/>
        </w:rPr>
        <w:t>Questions for industry</w:t>
      </w:r>
    </w:p>
    <w:p w14:paraId="12F3D4AE" w14:textId="77777777" w:rsidR="0015713C" w:rsidRDefault="0015713C" w:rsidP="0015713C">
      <w:pPr>
        <w:pStyle w:val="ListParagraph"/>
        <w:numPr>
          <w:ilvl w:val="0"/>
          <w:numId w:val="29"/>
        </w:numPr>
        <w:spacing w:after="120" w:line="276" w:lineRule="auto"/>
        <w:contextualSpacing w:val="0"/>
      </w:pPr>
      <w:r>
        <w:t xml:space="preserve">Several requests were made to enable broader industry representation in the PC to enable improved integration with industry. As a reminder, the PC is currently comprised of an equal number of representatives from the buy-side, sell-side and trading venues  </w:t>
      </w:r>
    </w:p>
    <w:p w14:paraId="2F32DA6C" w14:textId="77777777" w:rsidR="004B5D07" w:rsidRDefault="004B5D07" w:rsidP="003E133F">
      <w:pPr>
        <w:pStyle w:val="ListParagraph"/>
        <w:spacing w:after="120" w:line="276" w:lineRule="auto"/>
        <w:ind w:left="360"/>
        <w:contextualSpacing w:val="0"/>
      </w:pPr>
      <w:r>
        <w:t xml:space="preserve">Do you support the proposal to expand industry representation at the Product Committee? </w:t>
      </w:r>
    </w:p>
    <w:p w14:paraId="4CF23873" w14:textId="77777777" w:rsidR="00B279DC" w:rsidRDefault="00B279DC" w:rsidP="00B279DC">
      <w:pPr>
        <w:spacing w:after="120" w:line="276" w:lineRule="auto"/>
      </w:pPr>
    </w:p>
    <w:p w14:paraId="036C7E1B" w14:textId="77777777" w:rsidR="0015713C" w:rsidRDefault="0015713C" w:rsidP="0015713C">
      <w:pPr>
        <w:pStyle w:val="ListParagraph"/>
        <w:numPr>
          <w:ilvl w:val="0"/>
          <w:numId w:val="29"/>
        </w:numPr>
        <w:spacing w:after="120" w:line="276" w:lineRule="auto"/>
        <w:contextualSpacing w:val="0"/>
      </w:pPr>
      <w:r>
        <w:t xml:space="preserve">A recommendation was also made that the DSB not become a member of trade associations but instead reach out to the various bodies asking if the DSB can monitor the output of deliberations of various derivatives working groups on an ongoing basis </w:t>
      </w:r>
    </w:p>
    <w:p w14:paraId="742E7B9E" w14:textId="77777777" w:rsidR="00C6681F" w:rsidRDefault="00C6681F" w:rsidP="003E133F">
      <w:pPr>
        <w:pStyle w:val="ListParagraph"/>
        <w:spacing w:after="80" w:line="276" w:lineRule="auto"/>
        <w:ind w:left="360"/>
        <w:contextualSpacing w:val="0"/>
      </w:pPr>
      <w:r>
        <w:t>Which specific industry working groups should the DSB reach out to in order to ensure it is able to monitor the output of various discussion fora and thus feed into the product roadmap and Product Committee deliberations on a proactive basis</w:t>
      </w:r>
      <w:r w:rsidR="005E1164">
        <w:t xml:space="preserve">? </w:t>
      </w:r>
    </w:p>
    <w:p w14:paraId="364943E0" w14:textId="77777777" w:rsidR="00B279DC" w:rsidRDefault="00B279DC" w:rsidP="003E133F">
      <w:pPr>
        <w:pStyle w:val="ListParagraph"/>
        <w:spacing w:after="80" w:line="276" w:lineRule="auto"/>
        <w:ind w:left="360"/>
        <w:contextualSpacing w:val="0"/>
      </w:pPr>
    </w:p>
    <w:p w14:paraId="33BDBC5F" w14:textId="77777777" w:rsidR="005157C1" w:rsidRDefault="00DE1B16" w:rsidP="003E133F">
      <w:pPr>
        <w:pStyle w:val="ListParagraph"/>
        <w:numPr>
          <w:ilvl w:val="0"/>
          <w:numId w:val="29"/>
        </w:numPr>
        <w:spacing w:after="80" w:line="276" w:lineRule="auto"/>
        <w:contextualSpacing w:val="0"/>
      </w:pPr>
      <w:r>
        <w:t xml:space="preserve">General </w:t>
      </w:r>
      <w:r w:rsidR="006F7700">
        <w:t>consensus</w:t>
      </w:r>
      <w:r>
        <w:t xml:space="preserve"> was that holiday downtime should be eliminated</w:t>
      </w:r>
      <w:r w:rsidR="00CD1E8F">
        <w:t xml:space="preserve"> and that the DSB should look to move to a 24/6.5 or 7/7 model to facilitate a global trading environment</w:t>
      </w:r>
      <w:r>
        <w:t xml:space="preserve">. </w:t>
      </w:r>
    </w:p>
    <w:p w14:paraId="10F053BE" w14:textId="77777777" w:rsidR="005D1575" w:rsidRDefault="00DE1B16" w:rsidP="003E133F">
      <w:pPr>
        <w:pStyle w:val="ListParagraph"/>
        <w:spacing w:after="120" w:line="276" w:lineRule="auto"/>
        <w:ind w:left="360"/>
        <w:contextualSpacing w:val="0"/>
      </w:pPr>
      <w:r>
        <w:t xml:space="preserve">The DSB anticipates that supporting the additional </w:t>
      </w:r>
      <w:r w:rsidR="006F7700">
        <w:t xml:space="preserve">coverage </w:t>
      </w:r>
      <w:r w:rsidR="005157C1">
        <w:t xml:space="preserve">and services </w:t>
      </w:r>
      <w:r w:rsidR="006F7700">
        <w:t>would require the following marginal resource</w:t>
      </w:r>
      <w:r w:rsidR="00A52BFF">
        <w:t xml:space="preserve"> increase</w:t>
      </w:r>
      <w:r w:rsidR="005157C1">
        <w:t xml:space="preserve">. Note that the figures </w:t>
      </w:r>
      <w:r w:rsidR="005D1575">
        <w:t xml:space="preserve">below are provided on both an </w:t>
      </w:r>
      <w:r w:rsidR="005157C1">
        <w:t xml:space="preserve">isolated service </w:t>
      </w:r>
      <w:r w:rsidR="005D1575">
        <w:t xml:space="preserve">and combined package </w:t>
      </w:r>
      <w:r w:rsidR="005157C1">
        <w:t>basis</w:t>
      </w:r>
      <w:r w:rsidR="005D1575">
        <w:t>, with isolated costs</w:t>
      </w:r>
      <w:r w:rsidR="005157C1">
        <w:t xml:space="preserve"> </w:t>
      </w:r>
      <w:r w:rsidR="00DD3A9A">
        <w:t>over-estimat</w:t>
      </w:r>
      <w:r w:rsidR="005D1575">
        <w:t>ing</w:t>
      </w:r>
      <w:r w:rsidR="00DD3A9A">
        <w:t xml:space="preserve"> the actual resource requirements </w:t>
      </w:r>
      <w:r w:rsidR="005D1575">
        <w:t>given t</w:t>
      </w:r>
      <w:r w:rsidR="0013733D">
        <w:t>he</w:t>
      </w:r>
      <w:r w:rsidR="005D1575">
        <w:t xml:space="preserve"> </w:t>
      </w:r>
      <w:r w:rsidR="0013733D">
        <w:t>synergies across the individual items</w:t>
      </w:r>
      <w:r w:rsidR="005157C1">
        <w:t xml:space="preserve">. </w:t>
      </w:r>
    </w:p>
    <w:p w14:paraId="6EC96195" w14:textId="77777777" w:rsidR="00DE1B16" w:rsidRDefault="005157C1" w:rsidP="003E133F">
      <w:pPr>
        <w:pStyle w:val="ListParagraph"/>
        <w:spacing w:after="120" w:line="276" w:lineRule="auto"/>
        <w:ind w:left="360"/>
        <w:contextualSpacing w:val="0"/>
      </w:pPr>
      <w:r w:rsidRPr="003E133F">
        <w:rPr>
          <w:u w:val="single"/>
        </w:rPr>
        <w:t xml:space="preserve">Isolated </w:t>
      </w:r>
      <w:r w:rsidR="005D1575" w:rsidRPr="003E133F">
        <w:rPr>
          <w:u w:val="single"/>
        </w:rPr>
        <w:t>service costs</w:t>
      </w:r>
      <w:r w:rsidR="005D1575">
        <w:t xml:space="preserve"> – if any given service was to be implanted on a stand-alone basis:</w:t>
      </w:r>
    </w:p>
    <w:p w14:paraId="3EB18EDC" w14:textId="77777777" w:rsidR="00DE1B16" w:rsidRPr="003E133F" w:rsidRDefault="0016417E" w:rsidP="002429A1">
      <w:pPr>
        <w:pStyle w:val="ListParagraph"/>
        <w:numPr>
          <w:ilvl w:val="0"/>
          <w:numId w:val="38"/>
        </w:numPr>
        <w:spacing w:after="120" w:line="276" w:lineRule="auto"/>
        <w:contextualSpacing w:val="0"/>
      </w:pPr>
      <w:r>
        <w:t xml:space="preserve">Remain </w:t>
      </w:r>
      <w:r w:rsidR="008C4EE4">
        <w:t>operational across all holidays</w:t>
      </w:r>
      <w:r w:rsidR="00DD3A9A">
        <w:t xml:space="preserve"> (</w:t>
      </w:r>
      <w:r w:rsidR="00DE1B16" w:rsidRPr="006F7700">
        <w:t>0.</w:t>
      </w:r>
      <w:r w:rsidR="00DD3A9A">
        <w:t>2</w:t>
      </w:r>
      <w:r w:rsidR="00DE1B16" w:rsidRPr="006F7700">
        <w:t xml:space="preserve"> FTE </w:t>
      </w:r>
      <w:r w:rsidR="00D309BC">
        <w:t>technical</w:t>
      </w:r>
      <w:r w:rsidR="00DE1B16" w:rsidRPr="006F7700">
        <w:t xml:space="preserve"> support</w:t>
      </w:r>
      <w:r w:rsidR="00DD3A9A">
        <w:t xml:space="preserve"> uplift)</w:t>
      </w:r>
    </w:p>
    <w:p w14:paraId="3CC25FF8" w14:textId="77777777" w:rsidR="008C4EE4" w:rsidRDefault="008C4EE4" w:rsidP="002429A1">
      <w:pPr>
        <w:pStyle w:val="ListParagraph"/>
        <w:numPr>
          <w:ilvl w:val="0"/>
          <w:numId w:val="38"/>
        </w:numPr>
        <w:spacing w:after="120" w:line="276" w:lineRule="auto"/>
        <w:contextualSpacing w:val="0"/>
      </w:pPr>
      <w:r>
        <w:t>Increase availability hours from 24x6 to 24x6.5 by reducing weekly downtime to between Saturday 20:00 UTC and Sunday 08:00 UTC</w:t>
      </w:r>
      <w:r w:rsidR="00DD3A9A">
        <w:t xml:space="preserve"> (0.6 FTE technical support uplift)</w:t>
      </w:r>
    </w:p>
    <w:p w14:paraId="07E882F7" w14:textId="77777777" w:rsidR="00DE1B16" w:rsidRPr="006F7700" w:rsidRDefault="008C4EE4" w:rsidP="002429A1">
      <w:pPr>
        <w:pStyle w:val="ListParagraph"/>
        <w:numPr>
          <w:ilvl w:val="0"/>
          <w:numId w:val="38"/>
        </w:numPr>
        <w:spacing w:after="120" w:line="276" w:lineRule="auto"/>
        <w:contextualSpacing w:val="0"/>
      </w:pPr>
      <w:r>
        <w:t xml:space="preserve">Improve email response times for Power Users </w:t>
      </w:r>
      <w:r w:rsidR="00DD3A9A">
        <w:t>(2 FTE technical</w:t>
      </w:r>
      <w:r w:rsidR="00A52BFF">
        <w:t xml:space="preserve"> </w:t>
      </w:r>
      <w:r w:rsidR="00DE1B16" w:rsidRPr="006F7700">
        <w:t>24 x 6.5 coverage: 2 x additional tech</w:t>
      </w:r>
      <w:r w:rsidR="00FA1267">
        <w:t>nical</w:t>
      </w:r>
      <w:r w:rsidR="00DE1B16" w:rsidRPr="006F7700">
        <w:t xml:space="preserve"> support</w:t>
      </w:r>
    </w:p>
    <w:p w14:paraId="7DF4F759" w14:textId="77777777" w:rsidR="008C4EE4" w:rsidRDefault="008C4EE4" w:rsidP="002429A1">
      <w:pPr>
        <w:pStyle w:val="ListParagraph"/>
        <w:numPr>
          <w:ilvl w:val="0"/>
          <w:numId w:val="38"/>
        </w:numPr>
        <w:spacing w:after="120" w:line="276" w:lineRule="auto"/>
        <w:contextualSpacing w:val="0"/>
      </w:pPr>
      <w:r>
        <w:t xml:space="preserve">Instigate on-call </w:t>
      </w:r>
      <w:r w:rsidR="0013733D">
        <w:t xml:space="preserve">rota for technical </w:t>
      </w:r>
      <w:r>
        <w:t>support during unavailability hours</w:t>
      </w:r>
      <w:r w:rsidR="0013733D">
        <w:t xml:space="preserve"> for addressing system failures</w:t>
      </w:r>
      <w:r w:rsidR="00DD3A9A">
        <w:t xml:space="preserve"> (0.5 FTE technical support uplift)</w:t>
      </w:r>
    </w:p>
    <w:p w14:paraId="39C20552" w14:textId="77777777" w:rsidR="008C4EE4" w:rsidRDefault="008C4EE4" w:rsidP="002429A1">
      <w:pPr>
        <w:pStyle w:val="ListParagraph"/>
        <w:numPr>
          <w:ilvl w:val="0"/>
          <w:numId w:val="38"/>
        </w:numPr>
        <w:spacing w:after="120" w:line="276" w:lineRule="auto"/>
        <w:contextualSpacing w:val="0"/>
      </w:pPr>
      <w:r>
        <w:lastRenderedPageBreak/>
        <w:t>Move to a monthly release schedule for all Business-as-Usual functionality changes, with the aim of moving to quarterly release cycles by the end of the 2019</w:t>
      </w:r>
      <w:r w:rsidR="00DD3A9A">
        <w:t xml:space="preserve"> (no impact on resourcing)</w:t>
      </w:r>
    </w:p>
    <w:p w14:paraId="6352FB85" w14:textId="0DB59BF3" w:rsidR="008C4EE4" w:rsidRDefault="005157C1" w:rsidP="005D1575">
      <w:pPr>
        <w:spacing w:after="120" w:line="276" w:lineRule="auto"/>
        <w:ind w:left="363"/>
      </w:pPr>
      <w:r w:rsidRPr="003E133F">
        <w:rPr>
          <w:u w:val="single"/>
        </w:rPr>
        <w:t>Packaged service costs</w:t>
      </w:r>
      <w:r>
        <w:t xml:space="preserve"> - </w:t>
      </w:r>
      <w:r w:rsidR="005D1575">
        <w:t>i</w:t>
      </w:r>
      <w:r w:rsidR="008C4EE4">
        <w:t>mplementing the</w:t>
      </w:r>
      <w:r w:rsidR="005D1575">
        <w:t xml:space="preserve"> </w:t>
      </w:r>
      <w:r w:rsidR="008C4EE4">
        <w:t xml:space="preserve">service level improvements </w:t>
      </w:r>
      <w:r w:rsidR="005D1575">
        <w:t>in</w:t>
      </w:r>
      <w:r w:rsidR="00CF6502">
        <w:t xml:space="preserve"> the</w:t>
      </w:r>
      <w:r w:rsidR="005D1575">
        <w:t xml:space="preserve"> above </w:t>
      </w:r>
      <w:r w:rsidR="00DD3A9A">
        <w:t xml:space="preserve">as a </w:t>
      </w:r>
      <w:r>
        <w:t xml:space="preserve">synergistic </w:t>
      </w:r>
      <w:r w:rsidR="00DD3A9A">
        <w:t xml:space="preserve">package </w:t>
      </w:r>
      <w:r w:rsidR="008C4EE4">
        <w:t xml:space="preserve">will </w:t>
      </w:r>
      <w:r w:rsidR="00DD3A9A">
        <w:t xml:space="preserve">result in </w:t>
      </w:r>
      <w:r w:rsidR="008C4EE4">
        <w:t>the following resource uplifts:</w:t>
      </w:r>
    </w:p>
    <w:p w14:paraId="01880A44" w14:textId="77777777" w:rsidR="008C4EE4" w:rsidRPr="00A062F0" w:rsidRDefault="008C4EE4" w:rsidP="003E133F">
      <w:pPr>
        <w:pStyle w:val="ListParagraph"/>
        <w:numPr>
          <w:ilvl w:val="0"/>
          <w:numId w:val="38"/>
        </w:numPr>
        <w:spacing w:after="120" w:line="276" w:lineRule="auto"/>
        <w:contextualSpacing w:val="0"/>
      </w:pPr>
      <w:r w:rsidRPr="00A062F0">
        <w:t xml:space="preserve">Technical Support uplift from 6.5 FTE to </w:t>
      </w:r>
      <w:r w:rsidR="004D7C8E">
        <w:t>10</w:t>
      </w:r>
      <w:r w:rsidRPr="00A062F0">
        <w:t xml:space="preserve"> FTE</w:t>
      </w:r>
    </w:p>
    <w:p w14:paraId="5AFE8A39" w14:textId="77777777" w:rsidR="008C4EE4" w:rsidRPr="00A062F0" w:rsidRDefault="008C4EE4" w:rsidP="003E133F">
      <w:pPr>
        <w:pStyle w:val="ListParagraph"/>
        <w:numPr>
          <w:ilvl w:val="0"/>
          <w:numId w:val="38"/>
        </w:numPr>
        <w:spacing w:after="120" w:line="276" w:lineRule="auto"/>
        <w:contextualSpacing w:val="0"/>
      </w:pPr>
      <w:r w:rsidRPr="00A062F0">
        <w:t>Secretariat / Product Management uplift from 2 FTE to 3 FTE</w:t>
      </w:r>
    </w:p>
    <w:p w14:paraId="72099D66" w14:textId="77777777" w:rsidR="005D1575" w:rsidRDefault="008B36CC" w:rsidP="003E133F">
      <w:pPr>
        <w:pStyle w:val="ListParagraph"/>
        <w:numPr>
          <w:ilvl w:val="0"/>
          <w:numId w:val="38"/>
        </w:numPr>
        <w:spacing w:after="120" w:line="276" w:lineRule="auto"/>
        <w:contextualSpacing w:val="0"/>
      </w:pPr>
      <w:r>
        <w:t>Implementing this service is expected to cost €</w:t>
      </w:r>
      <w:r w:rsidR="00C54C79">
        <w:t>700</w:t>
      </w:r>
      <w:r>
        <w:t xml:space="preserve">k p.a. which includes resource, office, infrastructure and </w:t>
      </w:r>
      <w:r w:rsidR="00C54C79">
        <w:t>related</w:t>
      </w:r>
      <w:r>
        <w:t xml:space="preserve"> administrative costs.</w:t>
      </w:r>
    </w:p>
    <w:p w14:paraId="75E83E8C" w14:textId="77777777" w:rsidR="002A5802" w:rsidRDefault="002A5802" w:rsidP="003E133F">
      <w:pPr>
        <w:pStyle w:val="ListParagraph"/>
        <w:spacing w:after="120" w:line="276" w:lineRule="auto"/>
        <w:ind w:left="723"/>
      </w:pPr>
    </w:p>
    <w:p w14:paraId="69B481A9" w14:textId="77777777" w:rsidR="00CE4A1D" w:rsidRDefault="0013733D" w:rsidP="003E133F">
      <w:pPr>
        <w:pStyle w:val="ListParagraph"/>
        <w:numPr>
          <w:ilvl w:val="0"/>
          <w:numId w:val="45"/>
        </w:numPr>
        <w:spacing w:after="120" w:line="276" w:lineRule="auto"/>
        <w:contextualSpacing w:val="0"/>
      </w:pPr>
      <w:r>
        <w:t xml:space="preserve">Do you concur </w:t>
      </w:r>
      <w:r w:rsidR="005157C1">
        <w:t xml:space="preserve">that the DSB should be implementing the </w:t>
      </w:r>
      <w:r w:rsidR="006F7700">
        <w:t xml:space="preserve">proposed </w:t>
      </w:r>
      <w:r>
        <w:t xml:space="preserve">service level improvements as outlined </w:t>
      </w:r>
      <w:r w:rsidR="006F7700">
        <w:t xml:space="preserve">above? </w:t>
      </w:r>
      <w:r>
        <w:t>Please explain your reasoning.</w:t>
      </w:r>
    </w:p>
    <w:p w14:paraId="4CDF1386" w14:textId="77777777" w:rsidR="005D1575" w:rsidRDefault="005D1575" w:rsidP="003E133F">
      <w:pPr>
        <w:pStyle w:val="ListParagraph"/>
        <w:numPr>
          <w:ilvl w:val="0"/>
          <w:numId w:val="45"/>
        </w:numPr>
        <w:spacing w:after="120" w:line="276" w:lineRule="auto"/>
        <w:contextualSpacing w:val="0"/>
      </w:pPr>
      <w:r>
        <w:t xml:space="preserve">If not, which of the individual service level improvements outlined above would you wish to see implemented, if any? </w:t>
      </w:r>
      <w:r w:rsidR="0013733D">
        <w:t>Please explain your reasoning.</w:t>
      </w:r>
    </w:p>
    <w:p w14:paraId="24FCE16F" w14:textId="77777777" w:rsidR="002B77A1" w:rsidRDefault="002B77A1" w:rsidP="002B77A1">
      <w:pPr>
        <w:pStyle w:val="ListParagraph"/>
        <w:spacing w:after="120" w:line="276" w:lineRule="auto"/>
        <w:ind w:left="714"/>
        <w:contextualSpacing w:val="0"/>
      </w:pPr>
    </w:p>
    <w:p w14:paraId="14612C6E" w14:textId="77777777" w:rsidR="002B77A1" w:rsidRDefault="002B77A1" w:rsidP="00A062F0">
      <w:pPr>
        <w:pStyle w:val="ListParagraph"/>
        <w:spacing w:after="120" w:line="276" w:lineRule="auto"/>
        <w:ind w:left="363"/>
        <w:contextualSpacing w:val="0"/>
      </w:pPr>
      <w:r>
        <w:t xml:space="preserve">Additionally, some respondents requested telephone access to technical and product support. </w:t>
      </w:r>
    </w:p>
    <w:p w14:paraId="6EF227EA" w14:textId="6320B5A2" w:rsidR="008F01DB" w:rsidRDefault="002B77A1" w:rsidP="003E133F">
      <w:pPr>
        <w:pStyle w:val="ListParagraph"/>
        <w:numPr>
          <w:ilvl w:val="0"/>
          <w:numId w:val="45"/>
        </w:numPr>
        <w:spacing w:after="120" w:line="276" w:lineRule="auto"/>
        <w:contextualSpacing w:val="0"/>
      </w:pPr>
      <w:r>
        <w:t>Telephone access to technical support during availability hours requires an additional 4.5 x FTE technical Support uplift</w:t>
      </w:r>
      <w:r w:rsidR="00346B6F">
        <w:t xml:space="preserve">. </w:t>
      </w:r>
      <w:r w:rsidR="008B36CC">
        <w:t>Implementing this service is expected to cost €6</w:t>
      </w:r>
      <w:r w:rsidR="00C54C79">
        <w:t>10</w:t>
      </w:r>
      <w:r w:rsidR="008B36CC">
        <w:t xml:space="preserve">k p.a. which includes resource, office, infrastructure and </w:t>
      </w:r>
      <w:r w:rsidR="00C54C79">
        <w:t>related</w:t>
      </w:r>
      <w:r w:rsidR="008B36CC">
        <w:t xml:space="preserve"> administrative </w:t>
      </w:r>
      <w:r w:rsidR="009F59A8">
        <w:t xml:space="preserve">and financing </w:t>
      </w:r>
      <w:r w:rsidR="008B36CC">
        <w:t>costs.</w:t>
      </w:r>
      <w:r w:rsidR="008F01DB" w:rsidRPr="008F01DB">
        <w:t xml:space="preserve"> </w:t>
      </w:r>
    </w:p>
    <w:p w14:paraId="5AF21F70" w14:textId="62E09F9F" w:rsidR="002B77A1" w:rsidRDefault="008F01DB" w:rsidP="009F59A8">
      <w:pPr>
        <w:pStyle w:val="ListParagraph"/>
        <w:spacing w:after="120" w:line="276" w:lineRule="auto"/>
        <w:ind w:left="900"/>
        <w:contextualSpacing w:val="0"/>
      </w:pPr>
      <w:r>
        <w:t>Do you believe telephone access to technical support is required within the cost-recovery ring-fence? If yes, what availability hours do you require</w:t>
      </w:r>
      <w:r w:rsidR="009F59A8">
        <w:t xml:space="preserve">? </w:t>
      </w:r>
    </w:p>
    <w:p w14:paraId="15ACE707" w14:textId="77777777" w:rsidR="002B77A1" w:rsidRPr="009F59A8" w:rsidRDefault="002B77A1" w:rsidP="006914E8">
      <w:pPr>
        <w:pStyle w:val="ListParagraph"/>
        <w:numPr>
          <w:ilvl w:val="0"/>
          <w:numId w:val="45"/>
        </w:numPr>
        <w:spacing w:after="120" w:line="276" w:lineRule="auto"/>
        <w:contextualSpacing w:val="0"/>
      </w:pPr>
      <w:r w:rsidRPr="009F59A8">
        <w:t xml:space="preserve">Telephone access to product support during London </w:t>
      </w:r>
      <w:r w:rsidR="00BF34A2" w:rsidRPr="009F59A8">
        <w:t xml:space="preserve">hours </w:t>
      </w:r>
      <w:r w:rsidRPr="009F59A8">
        <w:t>requires an additional 1x FTE secretariat / product management uplift</w:t>
      </w:r>
      <w:r w:rsidR="00346B6F" w:rsidRPr="009F59A8">
        <w:t xml:space="preserve">. </w:t>
      </w:r>
      <w:r w:rsidR="006914E8" w:rsidRPr="009F59A8">
        <w:t xml:space="preserve">The expectation is that this resource would be able to respond to the more complex questions typically requested by Power Users.  </w:t>
      </w:r>
      <w:r w:rsidR="008B36CC" w:rsidRPr="009F59A8">
        <w:t>Implementing this service is expected to cost €</w:t>
      </w:r>
      <w:r w:rsidR="00DF78F2" w:rsidRPr="009F59A8">
        <w:t>360</w:t>
      </w:r>
      <w:r w:rsidR="008B36CC" w:rsidRPr="009F59A8">
        <w:t xml:space="preserve">k p.a. which includes resource, office, infrastructure and </w:t>
      </w:r>
      <w:r w:rsidR="00C54C79" w:rsidRPr="009F59A8">
        <w:t xml:space="preserve">related </w:t>
      </w:r>
      <w:r w:rsidR="008B36CC" w:rsidRPr="009F59A8">
        <w:t xml:space="preserve">administrative </w:t>
      </w:r>
      <w:r w:rsidR="006914E8" w:rsidRPr="009F59A8">
        <w:t xml:space="preserve">and financing </w:t>
      </w:r>
      <w:r w:rsidR="008B36CC" w:rsidRPr="009F59A8">
        <w:t>costs.</w:t>
      </w:r>
    </w:p>
    <w:p w14:paraId="0042B4B0" w14:textId="77777777" w:rsidR="008F01DB" w:rsidRDefault="008F01DB" w:rsidP="008F01DB">
      <w:pPr>
        <w:pStyle w:val="ListParagraph"/>
        <w:spacing w:after="120" w:line="276" w:lineRule="auto"/>
        <w:ind w:left="900"/>
        <w:contextualSpacing w:val="0"/>
      </w:pPr>
      <w:r>
        <w:t>Do you believe telephone access to product support is required within the cost-recovery ring-fence? If yes, what availability hours do you require</w:t>
      </w:r>
    </w:p>
    <w:p w14:paraId="1A1A734B" w14:textId="77777777" w:rsidR="00EF6A30" w:rsidRDefault="00EF6A30" w:rsidP="00EF6A30">
      <w:pPr>
        <w:spacing w:after="120" w:line="276" w:lineRule="auto"/>
        <w:ind w:left="720"/>
      </w:pPr>
    </w:p>
    <w:p w14:paraId="03C5D64C" w14:textId="77777777" w:rsidR="00EF6A30" w:rsidRDefault="00EF6A30" w:rsidP="003E133F">
      <w:pPr>
        <w:pStyle w:val="ListParagraph"/>
        <w:numPr>
          <w:ilvl w:val="0"/>
          <w:numId w:val="29"/>
        </w:numPr>
        <w:spacing w:after="120" w:line="276" w:lineRule="auto"/>
        <w:contextualSpacing w:val="0"/>
      </w:pPr>
      <w:r>
        <w:t>Performance SLA – The DSB proposes</w:t>
      </w:r>
      <w:r w:rsidR="0045505E" w:rsidRPr="00BD5583">
        <w:t xml:space="preserve"> to </w:t>
      </w:r>
      <w:r>
        <w:t>implement the following changes to its performance metrics</w:t>
      </w:r>
    </w:p>
    <w:p w14:paraId="57BADF7B" w14:textId="77777777" w:rsidR="00EF6A30" w:rsidRDefault="00EF6A30" w:rsidP="003E133F">
      <w:pPr>
        <w:pStyle w:val="ListParagraph"/>
        <w:numPr>
          <w:ilvl w:val="0"/>
          <w:numId w:val="38"/>
        </w:numPr>
        <w:spacing w:after="120" w:line="276" w:lineRule="auto"/>
        <w:contextualSpacing w:val="0"/>
      </w:pPr>
      <w:r>
        <w:t>500ms latency for 99% of workflows related to ISIN Record retrieval</w:t>
      </w:r>
    </w:p>
    <w:p w14:paraId="371C54B9" w14:textId="77777777" w:rsidR="00EF6A30" w:rsidRDefault="00EF6A30" w:rsidP="003E133F">
      <w:pPr>
        <w:pStyle w:val="ListParagraph"/>
        <w:numPr>
          <w:ilvl w:val="0"/>
          <w:numId w:val="38"/>
        </w:numPr>
        <w:spacing w:after="120" w:line="276" w:lineRule="auto"/>
        <w:contextualSpacing w:val="0"/>
      </w:pPr>
      <w:r>
        <w:t>1,000ms latency for 99% of workflows related to ISIN Create Requests</w:t>
      </w:r>
    </w:p>
    <w:p w14:paraId="54EAFD7F" w14:textId="77777777" w:rsidR="00EF6A30" w:rsidRDefault="00EF6A30" w:rsidP="003E133F">
      <w:pPr>
        <w:pStyle w:val="ListParagraph"/>
        <w:numPr>
          <w:ilvl w:val="0"/>
          <w:numId w:val="38"/>
        </w:numPr>
        <w:spacing w:after="120" w:line="276" w:lineRule="auto"/>
        <w:contextualSpacing w:val="0"/>
      </w:pPr>
      <w:r>
        <w:t>5,000ms latency for 99% of workflows related to ISIN Search (by metadata)</w:t>
      </w:r>
    </w:p>
    <w:p w14:paraId="560BC521" w14:textId="77777777" w:rsidR="00EF6A30" w:rsidRDefault="00EF6A30" w:rsidP="003E133F">
      <w:pPr>
        <w:pStyle w:val="ListParagraph"/>
        <w:numPr>
          <w:ilvl w:val="0"/>
          <w:numId w:val="38"/>
        </w:numPr>
        <w:spacing w:after="120" w:line="276" w:lineRule="auto"/>
        <w:contextualSpacing w:val="0"/>
      </w:pPr>
      <w:r>
        <w:t>Implementation of this change has no impact on DSB build or run costs.</w:t>
      </w:r>
    </w:p>
    <w:p w14:paraId="1C967495" w14:textId="77777777" w:rsidR="00EF6A30" w:rsidRDefault="00D12150" w:rsidP="003E133F">
      <w:pPr>
        <w:spacing w:after="120" w:line="276" w:lineRule="auto"/>
        <w:ind w:firstLine="360"/>
      </w:pPr>
      <w:r>
        <w:t>Are there any other latency metrics</w:t>
      </w:r>
      <w:r w:rsidR="0045505E" w:rsidRPr="00BD5583">
        <w:t xml:space="preserve"> that </w:t>
      </w:r>
      <w:r>
        <w:t>should be part of the DSB performance SLA?</w:t>
      </w:r>
    </w:p>
    <w:p w14:paraId="65DDFC04" w14:textId="77777777" w:rsidR="00D12150" w:rsidRDefault="00D12150" w:rsidP="003E133F">
      <w:pPr>
        <w:pStyle w:val="ListParagraph"/>
        <w:numPr>
          <w:ilvl w:val="0"/>
          <w:numId w:val="29"/>
        </w:numPr>
        <w:spacing w:after="120" w:line="276" w:lineRule="auto"/>
        <w:contextualSpacing w:val="0"/>
      </w:pPr>
      <w:bookmarkStart w:id="19" w:name="_GoBack"/>
      <w:bookmarkEnd w:id="19"/>
      <w:r>
        <w:lastRenderedPageBreak/>
        <w:t>Acceptable Use Throughput – The DSB has two possible approaches to modify the throughput caps:</w:t>
      </w:r>
    </w:p>
    <w:p w14:paraId="101A13C0" w14:textId="77777777" w:rsidR="0045505E" w:rsidRPr="00BD5583" w:rsidRDefault="00D12150" w:rsidP="003E133F">
      <w:pPr>
        <w:pStyle w:val="ListParagraph"/>
        <w:numPr>
          <w:ilvl w:val="0"/>
          <w:numId w:val="44"/>
        </w:numPr>
        <w:spacing w:after="120" w:line="276" w:lineRule="auto"/>
        <w:contextualSpacing w:val="0"/>
      </w:pPr>
      <w:r>
        <w:t xml:space="preserve">Modify the throughput caps to allow occasional bursts above the permitted caps of 60 REST APIs per connection and one simultaneous FIX message in flight. Such a change requires a one-off €120K build cost to the monitoring and reporting systems to allow automated tracking of such burst behaviour. There is </w:t>
      </w:r>
      <w:r w:rsidR="00D9460D">
        <w:t xml:space="preserve">also the need for some additional system resources, </w:t>
      </w:r>
      <w:r w:rsidR="002D5BCA">
        <w:t xml:space="preserve">dependent on the amount and duration of the burst period. As an example, the DSB estimates that allowing bursts of one hour in any </w:t>
      </w:r>
      <w:r w:rsidR="001629CA">
        <w:t>24-hour</w:t>
      </w:r>
      <w:r w:rsidR="002D5BCA">
        <w:t xml:space="preserve"> period at double the throughput caps </w:t>
      </w:r>
      <w:r w:rsidR="0045505E" w:rsidRPr="00BD5583">
        <w:t xml:space="preserve">will </w:t>
      </w:r>
      <w:r w:rsidR="002D5BCA">
        <w:t>likely increase</w:t>
      </w:r>
      <w:r w:rsidR="00D9460D">
        <w:t xml:space="preserve"> the DSB run costs by €75</w:t>
      </w:r>
      <w:r w:rsidR="002D5BCA">
        <w:t>K</w:t>
      </w:r>
      <w:r>
        <w:t xml:space="preserve">. </w:t>
      </w:r>
      <w:r w:rsidR="000C5E33">
        <w:t>I</w:t>
      </w:r>
      <w:r w:rsidR="002D5BCA">
        <w:t>n this scenario, t</w:t>
      </w:r>
      <w:r>
        <w:t xml:space="preserve">he overall result </w:t>
      </w:r>
      <w:r w:rsidR="002D5BCA">
        <w:t xml:space="preserve">will be </w:t>
      </w:r>
      <w:r>
        <w:t xml:space="preserve">an increase in DSB costs of </w:t>
      </w:r>
      <w:r w:rsidR="002D5BCA">
        <w:t xml:space="preserve">€75K on </w:t>
      </w:r>
      <w:r w:rsidR="00D9460D">
        <w:t xml:space="preserve">a recurring basis, plus an additional </w:t>
      </w:r>
      <w:r>
        <w:t>€30K per annum</w:t>
      </w:r>
      <w:r w:rsidR="002D5BCA">
        <w:t xml:space="preserve"> amortization of the build cost,</w:t>
      </w:r>
      <w:r>
        <w:t xml:space="preserve"> </w:t>
      </w:r>
      <w:r w:rsidR="00D9460D">
        <w:t xml:space="preserve">time-limited to </w:t>
      </w:r>
      <w:r>
        <w:t>4 years.</w:t>
      </w:r>
    </w:p>
    <w:p w14:paraId="53746E9C" w14:textId="77777777" w:rsidR="00D12150" w:rsidRDefault="00D9460D" w:rsidP="003E133F">
      <w:pPr>
        <w:pStyle w:val="ListParagraph"/>
        <w:numPr>
          <w:ilvl w:val="0"/>
          <w:numId w:val="44"/>
        </w:numPr>
        <w:spacing w:after="120" w:line="276" w:lineRule="auto"/>
        <w:contextualSpacing w:val="0"/>
      </w:pPr>
      <w:r>
        <w:t>Double the throughput caps to allow constant higher levels of throughput without regard to the concept of any ‘burst mode’. Such an approach requires</w:t>
      </w:r>
      <w:r w:rsidR="00D12150">
        <w:t xml:space="preserve"> increase</w:t>
      </w:r>
      <w:r>
        <w:t>d</w:t>
      </w:r>
      <w:r w:rsidR="00D12150">
        <w:t xml:space="preserve"> system resources</w:t>
      </w:r>
      <w:r>
        <w:t>, increasing the run-costs of the DSB by an estimated €</w:t>
      </w:r>
      <w:r w:rsidR="00E51C0A">
        <w:t>420K per annum</w:t>
      </w:r>
      <w:r w:rsidR="00D12150">
        <w:t>.</w:t>
      </w:r>
      <w:r>
        <w:t xml:space="preserve"> There is no build cost for this </w:t>
      </w:r>
      <w:r w:rsidR="002D5BCA">
        <w:t>option</w:t>
      </w:r>
      <w:r>
        <w:t>.</w:t>
      </w:r>
    </w:p>
    <w:p w14:paraId="34C449EA" w14:textId="77777777" w:rsidR="00D12150" w:rsidRDefault="002D5BCA" w:rsidP="003E133F">
      <w:pPr>
        <w:pStyle w:val="ListParagraph"/>
        <w:numPr>
          <w:ilvl w:val="0"/>
          <w:numId w:val="44"/>
        </w:numPr>
        <w:spacing w:after="120" w:line="276" w:lineRule="auto"/>
        <w:contextualSpacing w:val="0"/>
      </w:pPr>
      <w:r>
        <w:t xml:space="preserve">Should the DSB implement the ‘burst mode’ approach highlighted above? If yes, </w:t>
      </w:r>
      <w:r w:rsidR="00FD5043">
        <w:t>is a burst duration of one hour every 24 hours an appropriate initial implementation</w:t>
      </w:r>
      <w:r>
        <w:t>?</w:t>
      </w:r>
    </w:p>
    <w:p w14:paraId="6954576B" w14:textId="77777777" w:rsidR="00CC5CFC" w:rsidRPr="003E133F" w:rsidRDefault="002D5BCA" w:rsidP="003E133F">
      <w:pPr>
        <w:pStyle w:val="ListParagraph"/>
        <w:numPr>
          <w:ilvl w:val="0"/>
          <w:numId w:val="44"/>
        </w:numPr>
        <w:spacing w:after="120" w:line="276" w:lineRule="auto"/>
        <w:contextualSpacing w:val="0"/>
      </w:pPr>
      <w:r>
        <w:t xml:space="preserve">Should the DSB implement an increase in the throughput caps? If so, </w:t>
      </w:r>
      <w:r w:rsidR="00FD5043">
        <w:t>is a doubling of the existing cap level an appropriate initial implementation</w:t>
      </w:r>
      <w:r>
        <w:t>?</w:t>
      </w:r>
      <w:r w:rsidR="00346B6F">
        <w:t xml:space="preserve"> </w:t>
      </w:r>
    </w:p>
    <w:p w14:paraId="63AA93AA" w14:textId="77777777" w:rsidR="004615C7" w:rsidRDefault="004615C7">
      <w:pPr>
        <w:rPr>
          <w:rFonts w:asciiTheme="majorHAnsi" w:eastAsiaTheme="majorEastAsia" w:hAnsiTheme="majorHAnsi" w:cstheme="majorBidi"/>
          <w:b/>
          <w:color w:val="1F4D78" w:themeColor="accent1" w:themeShade="7F"/>
          <w:sz w:val="24"/>
          <w:szCs w:val="24"/>
        </w:rPr>
      </w:pPr>
      <w:r>
        <w:rPr>
          <w:b/>
        </w:rPr>
        <w:br w:type="page"/>
      </w:r>
    </w:p>
    <w:p w14:paraId="21EFBAE6" w14:textId="77777777" w:rsidR="00E24739" w:rsidRPr="00C36087" w:rsidRDefault="00E24739" w:rsidP="0099054C">
      <w:pPr>
        <w:pStyle w:val="Heading3"/>
        <w:spacing w:line="276" w:lineRule="auto"/>
        <w:rPr>
          <w:b/>
        </w:rPr>
      </w:pPr>
      <w:bookmarkStart w:id="20" w:name="_Toc517783481"/>
      <w:bookmarkStart w:id="21" w:name="_Toc517969369"/>
      <w:r w:rsidRPr="00C36087">
        <w:rPr>
          <w:b/>
        </w:rPr>
        <w:lastRenderedPageBreak/>
        <w:t xml:space="preserve">Service </w:t>
      </w:r>
      <w:r w:rsidR="00DF4826">
        <w:rPr>
          <w:b/>
        </w:rPr>
        <w:t>Resiliency</w:t>
      </w:r>
      <w:r w:rsidRPr="00C36087">
        <w:rPr>
          <w:b/>
        </w:rPr>
        <w:t>:</w:t>
      </w:r>
      <w:bookmarkEnd w:id="20"/>
      <w:bookmarkEnd w:id="21"/>
      <w:r w:rsidRPr="00C36087">
        <w:rPr>
          <w:b/>
        </w:rPr>
        <w:t xml:space="preserve"> </w:t>
      </w:r>
    </w:p>
    <w:p w14:paraId="04E1D0BE" w14:textId="77777777" w:rsidR="00621821" w:rsidRPr="00FD7EA7" w:rsidRDefault="00D309BC" w:rsidP="00621821">
      <w:pPr>
        <w:spacing w:before="120" w:after="80" w:line="276" w:lineRule="auto"/>
        <w:rPr>
          <w:u w:val="single"/>
        </w:rPr>
      </w:pPr>
      <w:r>
        <w:rPr>
          <w:u w:val="single"/>
        </w:rPr>
        <w:t>Synopsis of CP1 q</w:t>
      </w:r>
      <w:r w:rsidRPr="00FD7EA7">
        <w:rPr>
          <w:u w:val="single"/>
        </w:rPr>
        <w:t xml:space="preserve">uestions to </w:t>
      </w:r>
      <w:r w:rsidR="00621821" w:rsidRPr="00FD7EA7">
        <w:rPr>
          <w:u w:val="single"/>
        </w:rPr>
        <w:t>industry and responses received:</w:t>
      </w:r>
    </w:p>
    <w:p w14:paraId="6611AB90" w14:textId="77777777" w:rsidR="00CC2C95" w:rsidRDefault="00CC2C95" w:rsidP="00D972A4">
      <w:pPr>
        <w:spacing w:after="80" w:line="276" w:lineRule="auto"/>
      </w:pPr>
      <w:r>
        <w:t xml:space="preserve">Q21. </w:t>
      </w:r>
      <w:r w:rsidR="00896CB1">
        <w:t>Are the scheduled w</w:t>
      </w:r>
      <w:r>
        <w:t xml:space="preserve">eekly </w:t>
      </w:r>
      <w:r w:rsidR="00896CB1">
        <w:t xml:space="preserve">and holiday </w:t>
      </w:r>
      <w:r>
        <w:t>downtime</w:t>
      </w:r>
      <w:r w:rsidR="00896CB1">
        <w:t>s appropriate</w:t>
      </w:r>
      <w:r>
        <w:t xml:space="preserve">? </w:t>
      </w:r>
    </w:p>
    <w:p w14:paraId="4EEFA966" w14:textId="77777777" w:rsidR="00CC2C95" w:rsidRDefault="00CC2C95" w:rsidP="00D972A4">
      <w:pPr>
        <w:spacing w:after="80" w:line="276" w:lineRule="auto"/>
      </w:pPr>
      <w:r>
        <w:t xml:space="preserve">Q22. Should the DSB move to an enhanced disaster recovery architecture (details in the consultation)? </w:t>
      </w:r>
    </w:p>
    <w:p w14:paraId="5B429215" w14:textId="77777777" w:rsidR="00CC2C95" w:rsidRDefault="00CC2C95" w:rsidP="00D972A4">
      <w:pPr>
        <w:spacing w:after="80" w:line="276" w:lineRule="auto"/>
      </w:pPr>
      <w:r>
        <w:t xml:space="preserve">Q23. Should the DSB move towards dual-cloud deployment? </w:t>
      </w:r>
    </w:p>
    <w:p w14:paraId="23EB1C47" w14:textId="77777777" w:rsidR="00611FAF" w:rsidRDefault="00611FAF" w:rsidP="00D972A4">
      <w:pPr>
        <w:spacing w:after="80" w:line="276" w:lineRule="auto"/>
      </w:pPr>
      <w:r>
        <w:rPr>
          <w:noProof/>
        </w:rPr>
        <w:drawing>
          <wp:inline distT="0" distB="0" distL="0" distR="0" wp14:anchorId="5CF7302D" wp14:editId="1200270F">
            <wp:extent cx="5385816" cy="3355848"/>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85816" cy="3355848"/>
                    </a:xfrm>
                    <a:prstGeom prst="rect">
                      <a:avLst/>
                    </a:prstGeom>
                  </pic:spPr>
                </pic:pic>
              </a:graphicData>
            </a:graphic>
          </wp:inline>
        </w:drawing>
      </w:r>
    </w:p>
    <w:p w14:paraId="0DA891CF" w14:textId="77777777" w:rsidR="00495D22" w:rsidRPr="00C6426B" w:rsidRDefault="00495D22" w:rsidP="00FA1267">
      <w:pPr>
        <w:spacing w:after="120" w:line="276" w:lineRule="auto"/>
      </w:pPr>
      <w:r w:rsidRPr="00C6426B">
        <w:t xml:space="preserve">General consensus </w:t>
      </w:r>
      <w:r>
        <w:t>that</w:t>
      </w:r>
      <w:r w:rsidR="00363DEA">
        <w:t xml:space="preserve">:  </w:t>
      </w:r>
    </w:p>
    <w:p w14:paraId="16EE66A7" w14:textId="77777777" w:rsidR="00495D22" w:rsidRDefault="00363DEA" w:rsidP="00FA1267">
      <w:pPr>
        <w:pStyle w:val="ListParagraph"/>
        <w:numPr>
          <w:ilvl w:val="0"/>
          <w:numId w:val="3"/>
        </w:numPr>
        <w:spacing w:after="120" w:line="276" w:lineRule="auto"/>
        <w:ind w:left="360" w:hanging="357"/>
        <w:contextualSpacing w:val="0"/>
      </w:pPr>
      <w:r>
        <w:t xml:space="preserve">Dual-cloud provisioning is not required </w:t>
      </w:r>
    </w:p>
    <w:p w14:paraId="52E4CDD6" w14:textId="77777777" w:rsidR="00363DEA" w:rsidRPr="00C6426B" w:rsidRDefault="00363DEA" w:rsidP="00FA1267">
      <w:pPr>
        <w:pStyle w:val="ListParagraph"/>
        <w:numPr>
          <w:ilvl w:val="0"/>
          <w:numId w:val="3"/>
        </w:numPr>
        <w:spacing w:after="120" w:line="276" w:lineRule="auto"/>
        <w:ind w:left="360" w:hanging="357"/>
        <w:contextualSpacing w:val="0"/>
      </w:pPr>
      <w:r>
        <w:t xml:space="preserve">Current operating hours </w:t>
      </w:r>
      <w:r w:rsidR="00833627">
        <w:t xml:space="preserve">are satisfactory </w:t>
      </w:r>
      <w:r>
        <w:t xml:space="preserve">but need to be </w:t>
      </w:r>
      <w:r w:rsidR="004D199D">
        <w:t>expanded</w:t>
      </w:r>
      <w:r>
        <w:t xml:space="preserve"> as point-of-trade/quote dependency on the DSB grows </w:t>
      </w:r>
    </w:p>
    <w:p w14:paraId="2EB97B49" w14:textId="77777777" w:rsidR="00C378BB" w:rsidRDefault="00C378BB" w:rsidP="00A062F0">
      <w:pPr>
        <w:pStyle w:val="ListParagraph"/>
        <w:numPr>
          <w:ilvl w:val="0"/>
          <w:numId w:val="3"/>
        </w:numPr>
        <w:spacing w:after="120" w:line="276" w:lineRule="auto"/>
        <w:ind w:left="360" w:hanging="357"/>
        <w:contextualSpacing w:val="0"/>
      </w:pPr>
      <w:r>
        <w:t>Holiday downtime should be eliminated (full details in 2.2.3 and further feedback requested in Q9.)</w:t>
      </w:r>
    </w:p>
    <w:p w14:paraId="1CBB729E" w14:textId="77777777" w:rsidR="00FA1267" w:rsidRDefault="00FA1267" w:rsidP="00BD5583">
      <w:pPr>
        <w:ind w:left="3"/>
      </w:pPr>
    </w:p>
    <w:p w14:paraId="5E28DBBB" w14:textId="77777777" w:rsidR="00495D22" w:rsidRDefault="00495D22" w:rsidP="00BD5583">
      <w:pPr>
        <w:spacing w:after="120" w:line="276" w:lineRule="auto"/>
      </w:pPr>
      <w:r>
        <w:t>Mixed opinion on</w:t>
      </w:r>
      <w:r w:rsidR="00896CB1">
        <w:t xml:space="preserve"> whether to move the DSB’s disaster recovery model to a primary/ primary architecture </w:t>
      </w:r>
    </w:p>
    <w:p w14:paraId="608287F2" w14:textId="77777777" w:rsidR="00495D22" w:rsidRDefault="000A0701" w:rsidP="00BD5583">
      <w:pPr>
        <w:spacing w:after="120" w:line="276" w:lineRule="auto"/>
      </w:pPr>
      <w:r>
        <w:t>D</w:t>
      </w:r>
      <w:r w:rsidR="00495D22">
        <w:t xml:space="preserve">etailed feedback on each item is provided as part of the TAC presentation, </w:t>
      </w:r>
      <w:hyperlink r:id="rId21" w:history="1">
        <w:r w:rsidR="00495D22" w:rsidRPr="00FD2D78">
          <w:rPr>
            <w:rStyle w:val="Hyperlink"/>
          </w:rPr>
          <w:t>available here</w:t>
        </w:r>
      </w:hyperlink>
    </w:p>
    <w:p w14:paraId="0AA64827" w14:textId="77777777" w:rsidR="00495D22" w:rsidRPr="00A714E2" w:rsidRDefault="00495D22" w:rsidP="00495D22">
      <w:pPr>
        <w:pStyle w:val="ListParagraph"/>
        <w:spacing w:line="276" w:lineRule="auto"/>
        <w:ind w:left="360"/>
        <w:rPr>
          <w:highlight w:val="yellow"/>
        </w:rPr>
      </w:pPr>
    </w:p>
    <w:p w14:paraId="282AAF99" w14:textId="77777777" w:rsidR="00832EC6" w:rsidRPr="00443E63" w:rsidRDefault="00832EC6" w:rsidP="00832EC6">
      <w:pPr>
        <w:spacing w:before="120" w:after="80" w:line="276" w:lineRule="auto"/>
        <w:rPr>
          <w:u w:val="single"/>
        </w:rPr>
      </w:pPr>
      <w:r w:rsidRPr="000B5C16">
        <w:rPr>
          <w:u w:val="single"/>
        </w:rPr>
        <w:t>DSB Decision</w:t>
      </w:r>
      <w:r w:rsidRPr="00443E63">
        <w:rPr>
          <w:u w:val="single"/>
        </w:rPr>
        <w:t xml:space="preserve">: </w:t>
      </w:r>
    </w:p>
    <w:p w14:paraId="089F599A" w14:textId="77777777" w:rsidR="00832EC6" w:rsidRDefault="000A0701" w:rsidP="003E133F">
      <w:pPr>
        <w:pStyle w:val="ListParagraph"/>
        <w:numPr>
          <w:ilvl w:val="0"/>
          <w:numId w:val="46"/>
        </w:numPr>
        <w:spacing w:after="80" w:line="276" w:lineRule="auto"/>
        <w:contextualSpacing w:val="0"/>
      </w:pPr>
      <w:r>
        <w:t xml:space="preserve">Not proceed further with dual-cloud provisioning </w:t>
      </w:r>
    </w:p>
    <w:p w14:paraId="643D1454" w14:textId="77777777" w:rsidR="000A0701" w:rsidRDefault="000A0701" w:rsidP="003E133F">
      <w:pPr>
        <w:pStyle w:val="ListParagraph"/>
        <w:numPr>
          <w:ilvl w:val="0"/>
          <w:numId w:val="46"/>
        </w:numPr>
        <w:spacing w:after="80" w:line="276" w:lineRule="auto"/>
        <w:contextualSpacing w:val="0"/>
      </w:pPr>
      <w:r>
        <w:t xml:space="preserve">Seek </w:t>
      </w:r>
      <w:r w:rsidR="00691B0D">
        <w:t>industry</w:t>
      </w:r>
      <w:r>
        <w:t xml:space="preserve"> guidance on target disaster recovery model </w:t>
      </w:r>
    </w:p>
    <w:p w14:paraId="1641BAE0" w14:textId="77777777" w:rsidR="00495D22" w:rsidRPr="00495D22" w:rsidRDefault="00495D22" w:rsidP="00832EC6">
      <w:pPr>
        <w:spacing w:before="120" w:after="80" w:line="276" w:lineRule="auto"/>
      </w:pPr>
    </w:p>
    <w:p w14:paraId="72AAED7A" w14:textId="77777777" w:rsidR="00832EC6" w:rsidRPr="000B5C16" w:rsidRDefault="00832EC6" w:rsidP="00832EC6">
      <w:pPr>
        <w:spacing w:before="120" w:after="80" w:line="276" w:lineRule="auto"/>
        <w:rPr>
          <w:u w:val="single"/>
        </w:rPr>
      </w:pPr>
      <w:r w:rsidRPr="000B5C16">
        <w:rPr>
          <w:u w:val="single"/>
        </w:rPr>
        <w:lastRenderedPageBreak/>
        <w:t>Questions for industry</w:t>
      </w:r>
    </w:p>
    <w:p w14:paraId="226553D0" w14:textId="77777777" w:rsidR="00691B0D" w:rsidRDefault="00EF3B8C" w:rsidP="003E133F">
      <w:pPr>
        <w:pStyle w:val="ListParagraph"/>
        <w:numPr>
          <w:ilvl w:val="0"/>
          <w:numId w:val="29"/>
        </w:numPr>
        <w:spacing w:after="120" w:line="276" w:lineRule="auto"/>
        <w:contextualSpacing w:val="0"/>
      </w:pPr>
      <w:r>
        <w:t>Some respondents concurred with the need for the DSB to institute m</w:t>
      </w:r>
      <w:r w:rsidRPr="00EF3B8C">
        <w:t>ultiple primary</w:t>
      </w:r>
      <w:r>
        <w:t xml:space="preserve"> based disaster recovery architecture. The DSB </w:t>
      </w:r>
      <w:r w:rsidR="00691B0D">
        <w:t>expects such an approach will reduce industry downtime during a disaster from 4 hours to between 1-2 hours.</w:t>
      </w:r>
    </w:p>
    <w:p w14:paraId="244D1B05" w14:textId="77777777" w:rsidR="00691B0D" w:rsidRDefault="00691B0D" w:rsidP="00A062F0">
      <w:pPr>
        <w:pStyle w:val="ListParagraph"/>
        <w:spacing w:after="120" w:line="276" w:lineRule="auto"/>
        <w:ind w:left="357"/>
        <w:contextualSpacing w:val="0"/>
      </w:pPr>
      <w:r>
        <w:t xml:space="preserve">The </w:t>
      </w:r>
      <w:r w:rsidR="0018544E">
        <w:t xml:space="preserve">implementation of such a solution requires a significant change to </w:t>
      </w:r>
      <w:r w:rsidR="00EF3B8C">
        <w:t xml:space="preserve">the </w:t>
      </w:r>
      <w:r w:rsidR="0018544E">
        <w:t xml:space="preserve">DR architecture. The DSB estimates </w:t>
      </w:r>
      <w:r>
        <w:t xml:space="preserve">build </w:t>
      </w:r>
      <w:r w:rsidR="00EF3B8C">
        <w:t xml:space="preserve">cost </w:t>
      </w:r>
      <w:r>
        <w:t xml:space="preserve">of a primary / primary model at </w:t>
      </w:r>
      <w:r w:rsidR="00EF3B8C">
        <w:t xml:space="preserve">between </w:t>
      </w:r>
      <w:r w:rsidR="00EF3B8C" w:rsidRPr="00EF3B8C">
        <w:t>€</w:t>
      </w:r>
      <w:r w:rsidR="00B1230E">
        <w:t>1m</w:t>
      </w:r>
      <w:r w:rsidR="00EF3B8C" w:rsidRPr="00EF3B8C">
        <w:t xml:space="preserve"> </w:t>
      </w:r>
      <w:r w:rsidR="00EF3B8C">
        <w:t xml:space="preserve">and </w:t>
      </w:r>
      <w:r w:rsidR="00EF3B8C" w:rsidRPr="00EF3B8C">
        <w:t>€1.5m</w:t>
      </w:r>
      <w:r w:rsidR="00EF3B8C">
        <w:t xml:space="preserve">, with </w:t>
      </w:r>
      <w:r>
        <w:t xml:space="preserve">no </w:t>
      </w:r>
      <w:r w:rsidR="00EF3B8C">
        <w:t xml:space="preserve">additional </w:t>
      </w:r>
      <w:r>
        <w:t xml:space="preserve">run-cost implications. The resulting annual increase in costs </w:t>
      </w:r>
      <w:r w:rsidR="00B1230E">
        <w:t xml:space="preserve">within the communal cost recovery ring-fence would </w:t>
      </w:r>
      <w:r w:rsidR="00EF3B8C">
        <w:t xml:space="preserve">be between </w:t>
      </w:r>
      <w:r w:rsidR="00EF3B8C" w:rsidRPr="00EF3B8C">
        <w:t>€</w:t>
      </w:r>
      <w:r w:rsidR="00B1230E">
        <w:t>2</w:t>
      </w:r>
      <w:r>
        <w:t>5</w:t>
      </w:r>
      <w:r w:rsidR="00B1230E">
        <w:t>0</w:t>
      </w:r>
      <w:r>
        <w:t>K</w:t>
      </w:r>
      <w:r w:rsidR="00EF3B8C" w:rsidRPr="00EF3B8C">
        <w:t xml:space="preserve"> </w:t>
      </w:r>
      <w:r w:rsidR="00EF3B8C">
        <w:t xml:space="preserve">and </w:t>
      </w:r>
      <w:r w:rsidR="00EF3B8C" w:rsidRPr="00EF3B8C">
        <w:t>€</w:t>
      </w:r>
      <w:r>
        <w:t>375K per annum for</w:t>
      </w:r>
      <w:r w:rsidR="00EF3B8C">
        <w:t xml:space="preserve"> the </w:t>
      </w:r>
      <w:r>
        <w:t>4 years</w:t>
      </w:r>
      <w:r w:rsidR="00B1230E">
        <w:t xml:space="preserve"> of build cost </w:t>
      </w:r>
      <w:r>
        <w:t>amortization.</w:t>
      </w:r>
    </w:p>
    <w:p w14:paraId="3D125B18" w14:textId="77777777" w:rsidR="00B1230E" w:rsidRDefault="00C378BB" w:rsidP="00A062F0">
      <w:pPr>
        <w:pStyle w:val="ListParagraph"/>
        <w:spacing w:after="120" w:line="276" w:lineRule="auto"/>
        <w:ind w:left="357"/>
        <w:contextualSpacing w:val="0"/>
      </w:pPr>
      <w:r>
        <w:t>If approved, t</w:t>
      </w:r>
      <w:r w:rsidR="00691B0D">
        <w:t>he DSB proposes to implement this</w:t>
      </w:r>
      <w:r w:rsidR="00EF3B8C">
        <w:t xml:space="preserve"> approach by </w:t>
      </w:r>
      <w:r w:rsidR="00691B0D">
        <w:t xml:space="preserve">working with </w:t>
      </w:r>
      <w:r w:rsidR="00EF3B8C">
        <w:t>the TAC</w:t>
      </w:r>
      <w:r w:rsidR="00691B0D">
        <w:t xml:space="preserve"> to agree the detailed design</w:t>
      </w:r>
      <w:r w:rsidR="00EF3B8C">
        <w:t xml:space="preserve">. </w:t>
      </w:r>
    </w:p>
    <w:p w14:paraId="043D7E1D" w14:textId="77777777" w:rsidR="00EF3B8C" w:rsidRPr="00EF3B8C" w:rsidRDefault="00EF3B8C" w:rsidP="00BD5583">
      <w:pPr>
        <w:spacing w:after="120" w:line="276" w:lineRule="auto"/>
        <w:ind w:left="357"/>
      </w:pPr>
      <w:r>
        <w:t xml:space="preserve">Do you concur with </w:t>
      </w:r>
      <w:r w:rsidR="00C378BB">
        <w:t xml:space="preserve">implementation of </w:t>
      </w:r>
      <w:r>
        <w:t xml:space="preserve">this approach?  </w:t>
      </w:r>
    </w:p>
    <w:p w14:paraId="461BE292" w14:textId="77777777" w:rsidR="000A0701" w:rsidRDefault="000A0701">
      <w:pPr>
        <w:rPr>
          <w:rFonts w:asciiTheme="majorHAnsi" w:eastAsiaTheme="majorEastAsia" w:hAnsiTheme="majorHAnsi" w:cstheme="majorBidi"/>
          <w:b/>
          <w:color w:val="1F4D78" w:themeColor="accent1" w:themeShade="7F"/>
          <w:sz w:val="24"/>
          <w:szCs w:val="24"/>
        </w:rPr>
      </w:pPr>
      <w:r>
        <w:rPr>
          <w:b/>
        </w:rPr>
        <w:br w:type="page"/>
      </w:r>
    </w:p>
    <w:p w14:paraId="36CFD22E" w14:textId="77777777" w:rsidR="00E24739" w:rsidRPr="00C36087" w:rsidRDefault="00E24739" w:rsidP="00C36087">
      <w:pPr>
        <w:pStyle w:val="Heading3"/>
        <w:rPr>
          <w:b/>
        </w:rPr>
      </w:pPr>
      <w:bookmarkStart w:id="22" w:name="_Toc517783482"/>
      <w:bookmarkStart w:id="23" w:name="_Toc517969370"/>
      <w:r w:rsidRPr="00C36087">
        <w:rPr>
          <w:b/>
        </w:rPr>
        <w:lastRenderedPageBreak/>
        <w:t>Access and Usage Agreement:</w:t>
      </w:r>
      <w:bookmarkEnd w:id="22"/>
      <w:bookmarkEnd w:id="23"/>
      <w:r w:rsidRPr="00C36087">
        <w:rPr>
          <w:b/>
        </w:rPr>
        <w:t xml:space="preserve">  </w:t>
      </w:r>
    </w:p>
    <w:p w14:paraId="5DBF1210" w14:textId="77777777" w:rsidR="00621821" w:rsidRPr="00FD7EA7" w:rsidRDefault="00D309BC" w:rsidP="00621821">
      <w:pPr>
        <w:spacing w:before="120" w:after="80" w:line="276" w:lineRule="auto"/>
        <w:rPr>
          <w:u w:val="single"/>
        </w:rPr>
      </w:pPr>
      <w:r>
        <w:rPr>
          <w:u w:val="single"/>
        </w:rPr>
        <w:t>Synopsis of CP1 q</w:t>
      </w:r>
      <w:r w:rsidRPr="00FD7EA7">
        <w:rPr>
          <w:u w:val="single"/>
        </w:rPr>
        <w:t xml:space="preserve">uestions to </w:t>
      </w:r>
      <w:r w:rsidR="00621821" w:rsidRPr="00FD7EA7">
        <w:rPr>
          <w:u w:val="single"/>
        </w:rPr>
        <w:t>industry and responses received:</w:t>
      </w:r>
    </w:p>
    <w:p w14:paraId="0624EA79" w14:textId="77777777" w:rsidR="00CC2C95" w:rsidRDefault="00CC2C95" w:rsidP="00D972A4">
      <w:pPr>
        <w:spacing w:after="80" w:line="276" w:lineRule="auto"/>
      </w:pPr>
      <w:r>
        <w:t xml:space="preserve">Q24. Do you believe the DSB should incur penalties for failing to meet SLAs? </w:t>
      </w:r>
    </w:p>
    <w:p w14:paraId="5143E4B2" w14:textId="77777777" w:rsidR="00CC2C95" w:rsidRDefault="00CC2C95" w:rsidP="00D972A4">
      <w:pPr>
        <w:spacing w:after="80" w:line="276" w:lineRule="auto"/>
      </w:pPr>
      <w:r>
        <w:t xml:space="preserve">Q25. Do you have a view on alternative fee models that could be applied across the spectrum of DSB user types to ameliorate the uncapped fee amount considerations? </w:t>
      </w:r>
    </w:p>
    <w:p w14:paraId="34A9581B" w14:textId="77777777" w:rsidR="00CC2C95" w:rsidRDefault="00CC2C95" w:rsidP="00D972A4">
      <w:pPr>
        <w:spacing w:after="80" w:line="276" w:lineRule="auto"/>
      </w:pPr>
      <w:r>
        <w:t xml:space="preserve">Q26. Do you have a view on how the DSB could address the risk that unforeseen events require a contract change across all user of the service? </w:t>
      </w:r>
    </w:p>
    <w:p w14:paraId="5FA5DCAC" w14:textId="77777777" w:rsidR="00CC2C95" w:rsidRDefault="00CC2C95" w:rsidP="00D972A4">
      <w:pPr>
        <w:spacing w:after="80" w:line="276" w:lineRule="auto"/>
      </w:pPr>
      <w:r>
        <w:t xml:space="preserve">Q27. Do you have a view on whether existing provisions for intermediary disclosure of client details are appropriate? Where you disagree, please propose an alternate mechanism. </w:t>
      </w:r>
    </w:p>
    <w:p w14:paraId="790F9CA8" w14:textId="77777777" w:rsidR="00611FAF" w:rsidRDefault="00611FAF" w:rsidP="00D972A4">
      <w:pPr>
        <w:spacing w:after="80" w:line="276" w:lineRule="auto"/>
      </w:pPr>
      <w:r>
        <w:rPr>
          <w:noProof/>
        </w:rPr>
        <w:drawing>
          <wp:inline distT="0" distB="0" distL="0" distR="0" wp14:anchorId="2AE735D4" wp14:editId="0308D585">
            <wp:extent cx="4615200" cy="2865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15200" cy="2865600"/>
                    </a:xfrm>
                    <a:prstGeom prst="rect">
                      <a:avLst/>
                    </a:prstGeom>
                  </pic:spPr>
                </pic:pic>
              </a:graphicData>
            </a:graphic>
          </wp:inline>
        </w:drawing>
      </w:r>
    </w:p>
    <w:p w14:paraId="66F9C1A1" w14:textId="77777777" w:rsidR="000663DC" w:rsidRPr="00C6426B" w:rsidRDefault="000663DC" w:rsidP="00BD5583">
      <w:pPr>
        <w:spacing w:after="120" w:line="276" w:lineRule="auto"/>
      </w:pPr>
      <w:r w:rsidRPr="00C6426B">
        <w:t xml:space="preserve">General consensus </w:t>
      </w:r>
      <w:r>
        <w:t>that</w:t>
      </w:r>
      <w:r w:rsidRPr="00C6426B">
        <w:t>:</w:t>
      </w:r>
    </w:p>
    <w:p w14:paraId="16862D36" w14:textId="77777777" w:rsidR="000663DC" w:rsidRDefault="0025685D" w:rsidP="00BD5583">
      <w:pPr>
        <w:pStyle w:val="ListParagraph"/>
        <w:numPr>
          <w:ilvl w:val="0"/>
          <w:numId w:val="3"/>
        </w:numPr>
        <w:spacing w:after="120" w:line="276" w:lineRule="auto"/>
        <w:ind w:left="360" w:hanging="357"/>
        <w:contextualSpacing w:val="0"/>
      </w:pPr>
      <w:r>
        <w:t xml:space="preserve">No penalties were needed in the event the DSB failed to meet its SLAs within the context of the cost recovery model and that transparency and governance were better routes to ensuring DSB stability </w:t>
      </w:r>
    </w:p>
    <w:p w14:paraId="34811D6D" w14:textId="77777777" w:rsidR="001629CA" w:rsidRDefault="001629CA" w:rsidP="00A062F0">
      <w:pPr>
        <w:spacing w:after="120" w:line="276" w:lineRule="auto"/>
      </w:pPr>
    </w:p>
    <w:p w14:paraId="5852A9E6" w14:textId="77777777" w:rsidR="000663DC" w:rsidRDefault="000663DC" w:rsidP="00BD5583">
      <w:pPr>
        <w:spacing w:after="120" w:line="276" w:lineRule="auto"/>
      </w:pPr>
      <w:r>
        <w:t>Mixed opinion on:</w:t>
      </w:r>
    </w:p>
    <w:p w14:paraId="764CCB72" w14:textId="77777777" w:rsidR="00F02BC9" w:rsidRDefault="00567B83" w:rsidP="00BD5583">
      <w:pPr>
        <w:pStyle w:val="ListParagraph"/>
        <w:numPr>
          <w:ilvl w:val="0"/>
          <w:numId w:val="3"/>
        </w:numPr>
        <w:spacing w:after="120" w:line="276" w:lineRule="auto"/>
        <w:ind w:left="360" w:hanging="357"/>
        <w:contextualSpacing w:val="0"/>
      </w:pPr>
      <w:r>
        <w:t>a</w:t>
      </w:r>
      <w:r w:rsidR="00F02BC9">
        <w:t xml:space="preserve">lternative models to address the </w:t>
      </w:r>
      <w:r w:rsidR="00177379">
        <w:t xml:space="preserve">possibility of </w:t>
      </w:r>
      <w:r w:rsidR="00F02BC9">
        <w:t xml:space="preserve">uncapped fee amounts with the spectrum of responses spanning a proposal of a flat fee for all EU MiFID </w:t>
      </w:r>
      <w:r w:rsidR="00F40930">
        <w:t>II</w:t>
      </w:r>
      <w:r w:rsidR="00F02BC9">
        <w:t xml:space="preserve"> participants (irrespective of their use of DSB data) to a need for transparency and governance to facilitate early sight of the proposed fee structure. </w:t>
      </w:r>
    </w:p>
    <w:p w14:paraId="7B25CE05" w14:textId="77777777" w:rsidR="003B7F31" w:rsidRDefault="00567B83" w:rsidP="00BD5583">
      <w:pPr>
        <w:pStyle w:val="ListParagraph"/>
        <w:numPr>
          <w:ilvl w:val="0"/>
          <w:numId w:val="3"/>
        </w:numPr>
        <w:spacing w:after="120" w:line="276" w:lineRule="auto"/>
        <w:ind w:left="360" w:hanging="357"/>
        <w:contextualSpacing w:val="0"/>
      </w:pPr>
      <w:r>
        <w:t>t</w:t>
      </w:r>
      <w:r w:rsidR="00C8025C">
        <w:t xml:space="preserve">he </w:t>
      </w:r>
      <w:r w:rsidR="00463604">
        <w:t xml:space="preserve">drivers for any proposed </w:t>
      </w:r>
      <w:r>
        <w:t xml:space="preserve">unilateral </w:t>
      </w:r>
      <w:r w:rsidR="00463604">
        <w:t xml:space="preserve">changes to the terms of the DSB Access and Usage Agreement, with responses varying from changes only for items required by law to the requirement for a 30-day notice period to allow time for review and feedback </w:t>
      </w:r>
      <w:r>
        <w:t xml:space="preserve">by users </w:t>
      </w:r>
    </w:p>
    <w:p w14:paraId="745D8E86" w14:textId="77777777" w:rsidR="003B7F31" w:rsidRDefault="003B7F31" w:rsidP="00BD5583">
      <w:pPr>
        <w:pStyle w:val="ListParagraph"/>
        <w:numPr>
          <w:ilvl w:val="0"/>
          <w:numId w:val="3"/>
        </w:numPr>
        <w:spacing w:after="120" w:line="276" w:lineRule="auto"/>
        <w:ind w:left="360" w:hanging="357"/>
        <w:contextualSpacing w:val="0"/>
      </w:pPr>
      <w:r>
        <w:t xml:space="preserve">the provision of identical terms to intermediaries and end users. </w:t>
      </w:r>
    </w:p>
    <w:p w14:paraId="44319C7F" w14:textId="77777777" w:rsidR="003B7F31" w:rsidRDefault="00027909" w:rsidP="00BD5583">
      <w:pPr>
        <w:pStyle w:val="ListParagraph"/>
        <w:numPr>
          <w:ilvl w:val="0"/>
          <w:numId w:val="3"/>
        </w:numPr>
        <w:spacing w:after="120" w:line="276" w:lineRule="auto"/>
        <w:ind w:left="360" w:hanging="357"/>
        <w:contextualSpacing w:val="0"/>
      </w:pPr>
      <w:r>
        <w:t xml:space="preserve">Some users have indicated that they wish to see the DSB incorporate audit rights in the terms of the </w:t>
      </w:r>
      <w:r w:rsidR="00FD1584">
        <w:t xml:space="preserve">agreement </w:t>
      </w:r>
      <w:r>
        <w:t xml:space="preserve">offered to intermediaries e.g. data vendors or other institutions </w:t>
      </w:r>
      <w:r w:rsidR="00FE4394">
        <w:t>providing</w:t>
      </w:r>
      <w:r>
        <w:t xml:space="preserve"> </w:t>
      </w:r>
      <w:r>
        <w:lastRenderedPageBreak/>
        <w:t xml:space="preserve">enhancement, storage or distribution of DSB Power User Data. </w:t>
      </w:r>
      <w:r w:rsidR="00AD28FD">
        <w:t xml:space="preserve">To </w:t>
      </w:r>
      <w:r w:rsidR="00FD1584">
        <w:t xml:space="preserve">date, to </w:t>
      </w:r>
      <w:r w:rsidR="00AD28FD">
        <w:t xml:space="preserve">ensure there is no cross-subsidisation, intermediaries are required to provide quarterly reports </w:t>
      </w:r>
      <w:r w:rsidR="00EE6B28">
        <w:t xml:space="preserve">to the DSB </w:t>
      </w:r>
      <w:r w:rsidR="00AD28FD">
        <w:t>of those End Users to whom they distribute Power User data</w:t>
      </w:r>
      <w:r w:rsidR="00EE6B28">
        <w:t xml:space="preserve"> only</w:t>
      </w:r>
      <w:r w:rsidR="00AD28FD">
        <w:t xml:space="preserve">. The report includes </w:t>
      </w:r>
      <w:r w:rsidR="00AD28FD" w:rsidRPr="00A062F0">
        <w:t>full legal name, address and primary contact details (name, phone and email) of all such End Users</w:t>
      </w:r>
      <w:r w:rsidR="00EE6B28" w:rsidRPr="00A062F0">
        <w:t>.</w:t>
      </w:r>
    </w:p>
    <w:p w14:paraId="3E4D8AAE" w14:textId="77777777" w:rsidR="000663DC" w:rsidRDefault="00A50DDE" w:rsidP="00BD5583">
      <w:pPr>
        <w:pStyle w:val="ListParagraph"/>
        <w:numPr>
          <w:ilvl w:val="0"/>
          <w:numId w:val="3"/>
        </w:numPr>
        <w:spacing w:after="120" w:line="276" w:lineRule="auto"/>
        <w:ind w:left="360" w:hanging="357"/>
        <w:contextualSpacing w:val="0"/>
      </w:pPr>
      <w:r>
        <w:t xml:space="preserve">Note that DSB Registered User Data (i.e. data drawn exclusively from end of day file downloads) is free to use and/or distribute, subject to third party terms. </w:t>
      </w:r>
    </w:p>
    <w:p w14:paraId="3FCE072F" w14:textId="77777777" w:rsidR="00027909" w:rsidRPr="000663DC" w:rsidRDefault="00027909" w:rsidP="00832EC6">
      <w:pPr>
        <w:spacing w:before="120" w:after="80" w:line="276" w:lineRule="auto"/>
      </w:pPr>
    </w:p>
    <w:p w14:paraId="5DF664F9" w14:textId="77777777" w:rsidR="00832EC6" w:rsidRPr="00443E63" w:rsidRDefault="00832EC6" w:rsidP="00832EC6">
      <w:pPr>
        <w:spacing w:before="120" w:after="80" w:line="276" w:lineRule="auto"/>
        <w:rPr>
          <w:u w:val="single"/>
        </w:rPr>
      </w:pPr>
      <w:r w:rsidRPr="000B5C16">
        <w:rPr>
          <w:u w:val="single"/>
        </w:rPr>
        <w:t>DSB Decision</w:t>
      </w:r>
      <w:r w:rsidRPr="00443E63">
        <w:rPr>
          <w:u w:val="single"/>
        </w:rPr>
        <w:t xml:space="preserve">: </w:t>
      </w:r>
    </w:p>
    <w:p w14:paraId="508C888F" w14:textId="77777777" w:rsidR="00832EC6" w:rsidRDefault="00EE6B28" w:rsidP="00C30612">
      <w:pPr>
        <w:pStyle w:val="ListParagraph"/>
        <w:numPr>
          <w:ilvl w:val="0"/>
          <w:numId w:val="13"/>
        </w:numPr>
        <w:spacing w:after="80" w:line="276" w:lineRule="auto"/>
        <w:contextualSpacing w:val="0"/>
      </w:pPr>
      <w:r>
        <w:t xml:space="preserve">To provide transparency over performance against SLAs, </w:t>
      </w:r>
      <w:r w:rsidR="00FD1584">
        <w:t>s</w:t>
      </w:r>
      <w:r w:rsidR="0032383A">
        <w:t>ome respondents indicated that they would like to see the DSB publish information about outages, service availability etc. as a result</w:t>
      </w:r>
      <w:r w:rsidR="00FD1584">
        <w:t>,</w:t>
      </w:r>
      <w:r w:rsidR="0032383A">
        <w:t xml:space="preserve"> the DSB intends to d</w:t>
      </w:r>
      <w:r w:rsidR="0025685D">
        <w:t xml:space="preserve">istribute </w:t>
      </w:r>
      <w:r w:rsidR="00FD1584">
        <w:t xml:space="preserve">a </w:t>
      </w:r>
      <w:r w:rsidR="0025685D">
        <w:t xml:space="preserve">user notification highlighting the availability of operational status information for each month </w:t>
      </w:r>
      <w:r w:rsidR="000642F4">
        <w:t>beginning January 2018</w:t>
      </w:r>
      <w:r w:rsidR="00122C23">
        <w:t xml:space="preserve">. Note that information about incidents and the accompanying root cause analysis is currently </w:t>
      </w:r>
      <w:hyperlink r:id="rId23" w:history="1">
        <w:r w:rsidR="000642F4" w:rsidRPr="000642F4">
          <w:rPr>
            <w:rStyle w:val="Hyperlink"/>
          </w:rPr>
          <w:t>available here</w:t>
        </w:r>
      </w:hyperlink>
      <w:r w:rsidR="00122C23">
        <w:t xml:space="preserve"> on the DSB website </w:t>
      </w:r>
    </w:p>
    <w:p w14:paraId="3A5FC990" w14:textId="77777777" w:rsidR="00F02BC9" w:rsidRDefault="00F02BC9" w:rsidP="00C30612">
      <w:pPr>
        <w:pStyle w:val="ListParagraph"/>
        <w:numPr>
          <w:ilvl w:val="0"/>
          <w:numId w:val="13"/>
        </w:numPr>
        <w:spacing w:after="80" w:line="276" w:lineRule="auto"/>
        <w:contextualSpacing w:val="0"/>
      </w:pPr>
      <w:r>
        <w:t xml:space="preserve">Publish audited financial accounts following the DSB’s first full year of operation. An overview of the cost base underlying 2017-18 Invoicing Period is provided in </w:t>
      </w:r>
      <w:r w:rsidR="00EE6B28">
        <w:t>Appendix</w:t>
      </w:r>
      <w:r>
        <w:t xml:space="preserve"> 1 of this document </w:t>
      </w:r>
    </w:p>
    <w:p w14:paraId="07C47D92" w14:textId="77777777" w:rsidR="00F02BC9" w:rsidRDefault="001D648E" w:rsidP="00C30612">
      <w:pPr>
        <w:pStyle w:val="ListParagraph"/>
        <w:numPr>
          <w:ilvl w:val="0"/>
          <w:numId w:val="13"/>
        </w:numPr>
        <w:spacing w:after="80" w:line="276" w:lineRule="auto"/>
        <w:contextualSpacing w:val="0"/>
      </w:pPr>
      <w:r>
        <w:t>Make available the ISAE3402</w:t>
      </w:r>
      <w:r w:rsidR="00F02BC9" w:rsidRPr="006D7562">
        <w:t xml:space="preserve"> report of the </w:t>
      </w:r>
      <w:r w:rsidR="00F02BC9">
        <w:t xml:space="preserve">third-party assurance audit to users </w:t>
      </w:r>
      <w:r w:rsidR="00C946D3">
        <w:t>once completed</w:t>
      </w:r>
    </w:p>
    <w:p w14:paraId="1811FEDE" w14:textId="77777777" w:rsidR="000663DC" w:rsidRPr="000663DC" w:rsidRDefault="000663DC" w:rsidP="00832EC6">
      <w:pPr>
        <w:spacing w:before="120" w:after="80" w:line="276" w:lineRule="auto"/>
      </w:pPr>
    </w:p>
    <w:p w14:paraId="056B404D" w14:textId="77777777" w:rsidR="00832EC6" w:rsidRPr="000B5C16" w:rsidRDefault="00832EC6" w:rsidP="00832EC6">
      <w:pPr>
        <w:spacing w:before="120" w:after="80" w:line="276" w:lineRule="auto"/>
        <w:rPr>
          <w:u w:val="single"/>
        </w:rPr>
      </w:pPr>
      <w:r w:rsidRPr="000B5C16">
        <w:rPr>
          <w:u w:val="single"/>
        </w:rPr>
        <w:t>Questions for industry</w:t>
      </w:r>
    </w:p>
    <w:p w14:paraId="7E8E7F8B" w14:textId="77777777" w:rsidR="00027909" w:rsidRDefault="00027909" w:rsidP="003E133F">
      <w:pPr>
        <w:pStyle w:val="ListParagraph"/>
        <w:numPr>
          <w:ilvl w:val="0"/>
          <w:numId w:val="29"/>
        </w:numPr>
        <w:spacing w:after="120" w:line="276" w:lineRule="auto"/>
        <w:contextualSpacing w:val="0"/>
      </w:pPr>
      <w:r>
        <w:t xml:space="preserve">There has been mixed response on the desire for differentiated </w:t>
      </w:r>
      <w:r w:rsidR="00FD1584">
        <w:t xml:space="preserve">agreement </w:t>
      </w:r>
      <w:r>
        <w:t>terms for intermediaries (</w:t>
      </w:r>
      <w:r w:rsidR="007D63F5">
        <w:t xml:space="preserve">e.g. data vendors or other institutions </w:t>
      </w:r>
      <w:r w:rsidR="00FE4394">
        <w:t>providing</w:t>
      </w:r>
      <w:r w:rsidR="007D63F5">
        <w:t xml:space="preserve"> enhancement, storage or distribution of DSB Power User Data. Note that DSB Registered User Data (i.e. data drawn exclusively from end of day file downloads) is free to use and/or distribute, subject to third party terms.</w:t>
      </w:r>
      <w:r>
        <w:t>) vs</w:t>
      </w:r>
      <w:r w:rsidR="007D63F5">
        <w:t>.</w:t>
      </w:r>
      <w:r>
        <w:t xml:space="preserve"> End Users. </w:t>
      </w:r>
    </w:p>
    <w:p w14:paraId="3BBFF2D4" w14:textId="77777777" w:rsidR="007D63F5" w:rsidRDefault="007D63F5" w:rsidP="003E133F">
      <w:pPr>
        <w:pStyle w:val="ListParagraph"/>
        <w:numPr>
          <w:ilvl w:val="0"/>
          <w:numId w:val="47"/>
        </w:numPr>
        <w:spacing w:after="120" w:line="276" w:lineRule="auto"/>
        <w:contextualSpacing w:val="0"/>
      </w:pPr>
      <w:r>
        <w:t xml:space="preserve">Do you believe audit rights should be incorporated within the </w:t>
      </w:r>
      <w:r w:rsidR="00FD1584">
        <w:t xml:space="preserve">agreement </w:t>
      </w:r>
      <w:r>
        <w:t xml:space="preserve">terms for such institutions? </w:t>
      </w:r>
    </w:p>
    <w:p w14:paraId="4DD38841" w14:textId="77777777" w:rsidR="00832EC6" w:rsidRDefault="00027909" w:rsidP="003E133F">
      <w:pPr>
        <w:pStyle w:val="ListParagraph"/>
        <w:numPr>
          <w:ilvl w:val="0"/>
          <w:numId w:val="47"/>
        </w:numPr>
        <w:spacing w:after="120" w:line="276" w:lineRule="auto"/>
        <w:ind w:left="636" w:hanging="284"/>
        <w:contextualSpacing w:val="0"/>
      </w:pPr>
      <w:r>
        <w:t xml:space="preserve">Do you have a view on the specific </w:t>
      </w:r>
      <w:r w:rsidR="00E20FEF">
        <w:t>term</w:t>
      </w:r>
      <w:r>
        <w:t xml:space="preserve">s you wish to see excluded/included within the </w:t>
      </w:r>
      <w:r w:rsidR="00EE6B28">
        <w:t>user agreement for intermediaries</w:t>
      </w:r>
      <w:r>
        <w:t xml:space="preserve">? </w:t>
      </w:r>
      <w:r w:rsidR="00E20FEF">
        <w:t xml:space="preserve">Please specify exact language and rationale for your proposal. </w:t>
      </w:r>
    </w:p>
    <w:p w14:paraId="471F0C44" w14:textId="77777777" w:rsidR="00832EC6" w:rsidRPr="00A714E2" w:rsidRDefault="00832EC6" w:rsidP="00BD5583"/>
    <w:p w14:paraId="0D2660B3" w14:textId="77777777" w:rsidR="00393F86" w:rsidRDefault="00393F86">
      <w:pPr>
        <w:rPr>
          <w:rFonts w:asciiTheme="majorHAnsi" w:eastAsiaTheme="majorEastAsia" w:hAnsiTheme="majorHAnsi" w:cstheme="majorBidi"/>
          <w:b/>
          <w:color w:val="1F4D78" w:themeColor="accent1" w:themeShade="7F"/>
          <w:sz w:val="24"/>
          <w:szCs w:val="24"/>
        </w:rPr>
      </w:pPr>
    </w:p>
    <w:p w14:paraId="14587E42" w14:textId="77777777" w:rsidR="00E33C55" w:rsidRDefault="00E33C55">
      <w:pPr>
        <w:rPr>
          <w:rFonts w:asciiTheme="majorHAnsi" w:eastAsiaTheme="majorEastAsia" w:hAnsiTheme="majorHAnsi" w:cstheme="majorBidi"/>
          <w:color w:val="2E74B5" w:themeColor="accent1" w:themeShade="BF"/>
          <w:sz w:val="32"/>
          <w:szCs w:val="32"/>
        </w:rPr>
      </w:pPr>
    </w:p>
    <w:p w14:paraId="21F06B8A" w14:textId="77777777" w:rsidR="003D1857" w:rsidRDefault="003D1857">
      <w:pPr>
        <w:rPr>
          <w:rFonts w:asciiTheme="majorHAnsi" w:eastAsiaTheme="majorEastAsia" w:hAnsiTheme="majorHAnsi" w:cstheme="majorBidi"/>
          <w:color w:val="2E74B5" w:themeColor="accent1" w:themeShade="BF"/>
          <w:sz w:val="32"/>
          <w:szCs w:val="32"/>
        </w:rPr>
      </w:pPr>
      <w:bookmarkStart w:id="24" w:name="_Toc517783484"/>
      <w:r>
        <w:br w:type="page"/>
      </w:r>
    </w:p>
    <w:p w14:paraId="1F5A6480" w14:textId="77777777" w:rsidR="001C032B" w:rsidRDefault="001C032B" w:rsidP="00765BA8">
      <w:pPr>
        <w:pStyle w:val="Heading1"/>
        <w:spacing w:line="276" w:lineRule="auto"/>
      </w:pPr>
      <w:bookmarkStart w:id="25" w:name="_Toc517969371"/>
      <w:r>
        <w:lastRenderedPageBreak/>
        <w:t>Appendices</w:t>
      </w:r>
      <w:bookmarkEnd w:id="24"/>
      <w:bookmarkEnd w:id="25"/>
    </w:p>
    <w:p w14:paraId="69CE5465" w14:textId="77777777" w:rsidR="008F2F1E" w:rsidRDefault="001C032B" w:rsidP="001C032B">
      <w:pPr>
        <w:pStyle w:val="Heading2"/>
      </w:pPr>
      <w:bookmarkStart w:id="26" w:name="_Toc517783485"/>
      <w:bookmarkStart w:id="27" w:name="_Toc517969372"/>
      <w:r>
        <w:t xml:space="preserve">Appendix 1 - </w:t>
      </w:r>
      <w:r w:rsidR="008F2F1E">
        <w:t>Cost Basis</w:t>
      </w:r>
      <w:bookmarkEnd w:id="26"/>
      <w:bookmarkEnd w:id="27"/>
    </w:p>
    <w:p w14:paraId="2B8894FD" w14:textId="77777777" w:rsidR="00F76334" w:rsidRDefault="00F76334" w:rsidP="00F76334">
      <w:pPr>
        <w:spacing w:before="160" w:line="276" w:lineRule="auto"/>
        <w:rPr>
          <w:color w:val="000000"/>
        </w:rPr>
      </w:pPr>
      <w:r>
        <w:rPr>
          <w:color w:val="000000"/>
        </w:rPr>
        <w:t xml:space="preserve">User fees recover the DSB overhead costs. The total annual overhead upon which the cost-recovery fees were calculated is €9.2m, which is 4.8 percent higher than the €8.8 million previously stated. The additional sum reflects development and operating costs identified in Q4 2017 by regulatory imperative and industry requests. </w:t>
      </w:r>
    </w:p>
    <w:p w14:paraId="31C86FC6" w14:textId="77777777" w:rsidR="00F76334" w:rsidRDefault="00F76334" w:rsidP="00F76334">
      <w:pPr>
        <w:spacing w:before="160" w:line="276" w:lineRule="auto"/>
        <w:rPr>
          <w:color w:val="000000"/>
        </w:rPr>
      </w:pPr>
      <w:r>
        <w:rPr>
          <w:color w:val="000000"/>
        </w:rPr>
        <w:t xml:space="preserve">The fee calculation was based on the contracts in force as of 5 January and the user categories those contracts represent. </w:t>
      </w:r>
      <w:r w:rsidRPr="00D93EC1">
        <w:rPr>
          <w:color w:val="000000"/>
        </w:rPr>
        <w:t xml:space="preserve">Excess revenues caused by additional contracts </w:t>
      </w:r>
      <w:r>
        <w:rPr>
          <w:color w:val="000000"/>
        </w:rPr>
        <w:t xml:space="preserve">signed after 5 January </w:t>
      </w:r>
      <w:r w:rsidRPr="00D93EC1">
        <w:rPr>
          <w:color w:val="000000"/>
        </w:rPr>
        <w:t xml:space="preserve">will </w:t>
      </w:r>
      <w:r>
        <w:rPr>
          <w:color w:val="000000"/>
        </w:rPr>
        <w:t xml:space="preserve">go </w:t>
      </w:r>
      <w:r w:rsidRPr="00D93EC1">
        <w:rPr>
          <w:color w:val="000000"/>
        </w:rPr>
        <w:t>to defray</w:t>
      </w:r>
      <w:r>
        <w:rPr>
          <w:color w:val="000000"/>
        </w:rPr>
        <w:t>ing</w:t>
      </w:r>
      <w:r w:rsidRPr="00D93EC1">
        <w:rPr>
          <w:color w:val="000000"/>
        </w:rPr>
        <w:t xml:space="preserve"> user fees for the next </w:t>
      </w:r>
      <w:r>
        <w:rPr>
          <w:color w:val="000000"/>
        </w:rPr>
        <w:t xml:space="preserve">contract </w:t>
      </w:r>
      <w:r w:rsidRPr="00D93EC1">
        <w:rPr>
          <w:color w:val="000000"/>
        </w:rPr>
        <w:t xml:space="preserve">year. </w:t>
      </w:r>
    </w:p>
    <w:p w14:paraId="7174CBCE" w14:textId="77777777" w:rsidR="00503CC3" w:rsidRDefault="00F76334" w:rsidP="00503CC3">
      <w:pPr>
        <w:spacing w:before="240" w:line="276" w:lineRule="auto"/>
      </w:pPr>
      <w:r>
        <w:t xml:space="preserve">The tables below show the </w:t>
      </w:r>
      <w:r w:rsidR="00C964E6">
        <w:t xml:space="preserve">breakdown of the €8.8mm </w:t>
      </w:r>
      <w:r>
        <w:t xml:space="preserve">costs published as part of the final report for the second DSB fee model consultation in </w:t>
      </w:r>
      <w:r w:rsidR="00C964E6">
        <w:t xml:space="preserve">June </w:t>
      </w:r>
      <w:r>
        <w:t xml:space="preserve">2017. Note that the </w:t>
      </w:r>
      <w:r w:rsidR="00503CC3">
        <w:t xml:space="preserve">costs, </w:t>
      </w:r>
      <w:r w:rsidR="00503CC3" w:rsidRPr="00DE481B">
        <w:t>which include a 20% margin for financial sustainability,</w:t>
      </w:r>
      <w:r w:rsidR="00503CC3">
        <w:t xml:space="preserve"> are broken down as below:</w:t>
      </w:r>
    </w:p>
    <w:tbl>
      <w:tblPr>
        <w:tblStyle w:val="GridTable5Dark-Accent3"/>
        <w:tblW w:w="0" w:type="auto"/>
        <w:tblLook w:val="0420" w:firstRow="1" w:lastRow="0" w:firstColumn="0" w:lastColumn="0" w:noHBand="0" w:noVBand="1"/>
      </w:tblPr>
      <w:tblGrid>
        <w:gridCol w:w="2518"/>
        <w:gridCol w:w="5334"/>
        <w:gridCol w:w="1164"/>
      </w:tblGrid>
      <w:tr w:rsidR="00503CC3" w:rsidRPr="00503CC3" w14:paraId="2AA56996" w14:textId="77777777" w:rsidTr="006165E2">
        <w:trPr>
          <w:cnfStyle w:val="100000000000" w:firstRow="1" w:lastRow="0" w:firstColumn="0" w:lastColumn="0" w:oddVBand="0" w:evenVBand="0" w:oddHBand="0" w:evenHBand="0" w:firstRowFirstColumn="0" w:firstRowLastColumn="0" w:lastRowFirstColumn="0" w:lastRowLastColumn="0"/>
          <w:trHeight w:val="300"/>
        </w:trPr>
        <w:tc>
          <w:tcPr>
            <w:tcW w:w="2518" w:type="dxa"/>
            <w:noWrap/>
            <w:vAlign w:val="center"/>
          </w:tcPr>
          <w:p w14:paraId="28BB859D" w14:textId="77777777" w:rsidR="00503CC3" w:rsidRPr="00503CC3" w:rsidRDefault="00503CC3" w:rsidP="006165E2">
            <w:pPr>
              <w:spacing w:line="276" w:lineRule="auto"/>
              <w:rPr>
                <w:szCs w:val="20"/>
              </w:rPr>
            </w:pPr>
            <w:r w:rsidRPr="00503CC3">
              <w:rPr>
                <w:szCs w:val="20"/>
              </w:rPr>
              <w:t>Category (Recurring)</w:t>
            </w:r>
          </w:p>
        </w:tc>
        <w:tc>
          <w:tcPr>
            <w:tcW w:w="5334" w:type="dxa"/>
            <w:vAlign w:val="center"/>
          </w:tcPr>
          <w:p w14:paraId="3D01A18A" w14:textId="77777777" w:rsidR="00503CC3" w:rsidRPr="00503CC3" w:rsidRDefault="00503CC3" w:rsidP="006165E2">
            <w:pPr>
              <w:spacing w:line="276" w:lineRule="auto"/>
              <w:rPr>
                <w:szCs w:val="20"/>
              </w:rPr>
            </w:pPr>
            <w:r w:rsidRPr="00503CC3">
              <w:rPr>
                <w:szCs w:val="20"/>
              </w:rPr>
              <w:t>Description</w:t>
            </w:r>
          </w:p>
        </w:tc>
        <w:tc>
          <w:tcPr>
            <w:tcW w:w="1164" w:type="dxa"/>
            <w:noWrap/>
            <w:vAlign w:val="center"/>
          </w:tcPr>
          <w:p w14:paraId="029F0C3E" w14:textId="77777777" w:rsidR="00503CC3" w:rsidRPr="00503CC3" w:rsidRDefault="00503CC3" w:rsidP="006165E2">
            <w:pPr>
              <w:spacing w:line="276" w:lineRule="auto"/>
              <w:jc w:val="right"/>
              <w:rPr>
                <w:szCs w:val="20"/>
              </w:rPr>
            </w:pPr>
            <w:r w:rsidRPr="00503CC3">
              <w:rPr>
                <w:szCs w:val="20"/>
              </w:rPr>
              <w:t>Amount</w:t>
            </w:r>
          </w:p>
        </w:tc>
      </w:tr>
      <w:tr w:rsidR="00503CC3" w:rsidRPr="00503CC3" w14:paraId="59A8C1E2" w14:textId="77777777" w:rsidTr="006165E2">
        <w:trPr>
          <w:cnfStyle w:val="000000100000" w:firstRow="0" w:lastRow="0" w:firstColumn="0" w:lastColumn="0" w:oddVBand="0" w:evenVBand="0" w:oddHBand="1" w:evenHBand="0" w:firstRowFirstColumn="0" w:firstRowLastColumn="0" w:lastRowFirstColumn="0" w:lastRowLastColumn="0"/>
          <w:trHeight w:val="774"/>
        </w:trPr>
        <w:tc>
          <w:tcPr>
            <w:tcW w:w="2518" w:type="dxa"/>
            <w:vMerge w:val="restart"/>
            <w:noWrap/>
            <w:vAlign w:val="center"/>
          </w:tcPr>
          <w:p w14:paraId="26D068C7" w14:textId="77777777" w:rsidR="00503CC3" w:rsidRPr="00503CC3" w:rsidRDefault="00503CC3" w:rsidP="006165E2">
            <w:pPr>
              <w:spacing w:line="276" w:lineRule="auto"/>
              <w:rPr>
                <w:szCs w:val="20"/>
              </w:rPr>
            </w:pPr>
            <w:r w:rsidRPr="00503CC3">
              <w:rPr>
                <w:szCs w:val="20"/>
              </w:rPr>
              <w:t>Technology &amp; Operations</w:t>
            </w:r>
          </w:p>
        </w:tc>
        <w:tc>
          <w:tcPr>
            <w:tcW w:w="5334" w:type="dxa"/>
            <w:vAlign w:val="center"/>
          </w:tcPr>
          <w:p w14:paraId="24505723" w14:textId="77777777" w:rsidR="00503CC3" w:rsidRPr="00503CC3" w:rsidRDefault="00503CC3" w:rsidP="006165E2">
            <w:pPr>
              <w:spacing w:line="276" w:lineRule="auto"/>
              <w:rPr>
                <w:szCs w:val="20"/>
              </w:rPr>
            </w:pPr>
            <w:r w:rsidRPr="00503CC3">
              <w:rPr>
                <w:szCs w:val="20"/>
              </w:rPr>
              <w:t>Operation of the DSB platform including technical and asset class support.</w:t>
            </w:r>
          </w:p>
        </w:tc>
        <w:tc>
          <w:tcPr>
            <w:tcW w:w="1164" w:type="dxa"/>
            <w:noWrap/>
            <w:vAlign w:val="center"/>
          </w:tcPr>
          <w:p w14:paraId="392BA013" w14:textId="77777777" w:rsidR="00503CC3" w:rsidRPr="00503CC3" w:rsidRDefault="00503CC3" w:rsidP="006165E2">
            <w:pPr>
              <w:spacing w:line="276" w:lineRule="auto"/>
              <w:jc w:val="right"/>
              <w:rPr>
                <w:szCs w:val="20"/>
              </w:rPr>
            </w:pPr>
            <w:r w:rsidRPr="00503CC3">
              <w:rPr>
                <w:szCs w:val="20"/>
              </w:rPr>
              <w:t>€4,103K</w:t>
            </w:r>
          </w:p>
        </w:tc>
      </w:tr>
      <w:tr w:rsidR="00503CC3" w:rsidRPr="00503CC3" w14:paraId="735583CA" w14:textId="77777777" w:rsidTr="006165E2">
        <w:trPr>
          <w:trHeight w:val="842"/>
        </w:trPr>
        <w:tc>
          <w:tcPr>
            <w:tcW w:w="2518" w:type="dxa"/>
            <w:vMerge/>
            <w:noWrap/>
            <w:vAlign w:val="center"/>
          </w:tcPr>
          <w:p w14:paraId="3A22D1CB" w14:textId="77777777" w:rsidR="00503CC3" w:rsidRPr="00503CC3" w:rsidRDefault="00503CC3" w:rsidP="006165E2">
            <w:pPr>
              <w:spacing w:line="276" w:lineRule="auto"/>
              <w:rPr>
                <w:szCs w:val="20"/>
              </w:rPr>
            </w:pPr>
          </w:p>
        </w:tc>
        <w:tc>
          <w:tcPr>
            <w:tcW w:w="5334" w:type="dxa"/>
            <w:vAlign w:val="center"/>
          </w:tcPr>
          <w:p w14:paraId="64D738A7" w14:textId="77777777" w:rsidR="00503CC3" w:rsidRPr="00503CC3" w:rsidRDefault="00503CC3" w:rsidP="006165E2">
            <w:pPr>
              <w:spacing w:line="276" w:lineRule="auto"/>
              <w:rPr>
                <w:szCs w:val="20"/>
              </w:rPr>
            </w:pPr>
            <w:r w:rsidRPr="00503CC3">
              <w:rPr>
                <w:szCs w:val="20"/>
              </w:rPr>
              <w:t>Support of new ToTV/uToTV functionality, default attribute provision and ReST API introduction</w:t>
            </w:r>
          </w:p>
        </w:tc>
        <w:tc>
          <w:tcPr>
            <w:tcW w:w="1164" w:type="dxa"/>
            <w:noWrap/>
            <w:vAlign w:val="center"/>
          </w:tcPr>
          <w:p w14:paraId="2FA54BB1" w14:textId="77777777" w:rsidR="00503CC3" w:rsidRPr="00503CC3" w:rsidRDefault="00503CC3" w:rsidP="006165E2">
            <w:pPr>
              <w:spacing w:line="276" w:lineRule="auto"/>
              <w:jc w:val="right"/>
              <w:rPr>
                <w:szCs w:val="20"/>
              </w:rPr>
            </w:pPr>
            <w:r w:rsidRPr="00503CC3">
              <w:rPr>
                <w:szCs w:val="20"/>
              </w:rPr>
              <w:t>€550K</w:t>
            </w:r>
          </w:p>
        </w:tc>
      </w:tr>
      <w:tr w:rsidR="00503CC3" w:rsidRPr="00503CC3" w14:paraId="0DB60F4D" w14:textId="77777777" w:rsidTr="006165E2">
        <w:trPr>
          <w:cnfStyle w:val="000000100000" w:firstRow="0" w:lastRow="0" w:firstColumn="0" w:lastColumn="0" w:oddVBand="0" w:evenVBand="0" w:oddHBand="1" w:evenHBand="0" w:firstRowFirstColumn="0" w:firstRowLastColumn="0" w:lastRowFirstColumn="0" w:lastRowLastColumn="0"/>
          <w:trHeight w:val="712"/>
        </w:trPr>
        <w:tc>
          <w:tcPr>
            <w:tcW w:w="2518" w:type="dxa"/>
            <w:noWrap/>
            <w:vAlign w:val="center"/>
            <w:hideMark/>
          </w:tcPr>
          <w:p w14:paraId="32ADC8F4" w14:textId="77777777" w:rsidR="00503CC3" w:rsidRPr="00503CC3" w:rsidRDefault="00503CC3" w:rsidP="006165E2">
            <w:pPr>
              <w:spacing w:line="276" w:lineRule="auto"/>
              <w:rPr>
                <w:szCs w:val="20"/>
              </w:rPr>
            </w:pPr>
            <w:r w:rsidRPr="00503CC3">
              <w:rPr>
                <w:szCs w:val="20"/>
              </w:rPr>
              <w:t>Management</w:t>
            </w:r>
          </w:p>
        </w:tc>
        <w:tc>
          <w:tcPr>
            <w:tcW w:w="5334" w:type="dxa"/>
            <w:vAlign w:val="center"/>
          </w:tcPr>
          <w:p w14:paraId="50031A1F" w14:textId="77777777" w:rsidR="00503CC3" w:rsidRPr="00503CC3" w:rsidRDefault="00503CC3" w:rsidP="006165E2">
            <w:pPr>
              <w:spacing w:line="276" w:lineRule="auto"/>
              <w:rPr>
                <w:szCs w:val="20"/>
              </w:rPr>
            </w:pPr>
            <w:r w:rsidRPr="00503CC3">
              <w:rPr>
                <w:szCs w:val="20"/>
              </w:rPr>
              <w:t>Senior management team including MD, MSP management team and CFO</w:t>
            </w:r>
          </w:p>
        </w:tc>
        <w:tc>
          <w:tcPr>
            <w:tcW w:w="1164" w:type="dxa"/>
            <w:noWrap/>
            <w:vAlign w:val="center"/>
            <w:hideMark/>
          </w:tcPr>
          <w:p w14:paraId="220DFD2B" w14:textId="77777777" w:rsidR="00503CC3" w:rsidRPr="00503CC3" w:rsidRDefault="00503CC3" w:rsidP="006165E2">
            <w:pPr>
              <w:spacing w:line="276" w:lineRule="auto"/>
              <w:jc w:val="right"/>
              <w:rPr>
                <w:szCs w:val="20"/>
              </w:rPr>
            </w:pPr>
            <w:r w:rsidRPr="00503CC3">
              <w:rPr>
                <w:szCs w:val="20"/>
              </w:rPr>
              <w:t>€967K</w:t>
            </w:r>
          </w:p>
        </w:tc>
      </w:tr>
      <w:tr w:rsidR="00503CC3" w:rsidRPr="00503CC3" w14:paraId="234F5604" w14:textId="77777777" w:rsidTr="006165E2">
        <w:trPr>
          <w:trHeight w:val="850"/>
        </w:trPr>
        <w:tc>
          <w:tcPr>
            <w:tcW w:w="2518" w:type="dxa"/>
            <w:noWrap/>
            <w:vAlign w:val="center"/>
            <w:hideMark/>
          </w:tcPr>
          <w:p w14:paraId="1C75A4B0" w14:textId="77777777" w:rsidR="00503CC3" w:rsidRPr="00503CC3" w:rsidRDefault="00503CC3" w:rsidP="006165E2">
            <w:pPr>
              <w:spacing w:line="276" w:lineRule="auto"/>
              <w:rPr>
                <w:szCs w:val="20"/>
              </w:rPr>
            </w:pPr>
            <w:r w:rsidRPr="00503CC3">
              <w:rPr>
                <w:szCs w:val="20"/>
              </w:rPr>
              <w:t>Administration</w:t>
            </w:r>
          </w:p>
        </w:tc>
        <w:tc>
          <w:tcPr>
            <w:tcW w:w="5334" w:type="dxa"/>
            <w:vAlign w:val="center"/>
          </w:tcPr>
          <w:p w14:paraId="683BB1C0" w14:textId="77777777" w:rsidR="00503CC3" w:rsidRPr="00503CC3" w:rsidRDefault="00503CC3" w:rsidP="006165E2">
            <w:pPr>
              <w:spacing w:line="276" w:lineRule="auto"/>
              <w:rPr>
                <w:szCs w:val="20"/>
              </w:rPr>
            </w:pPr>
            <w:r w:rsidRPr="00503CC3">
              <w:rPr>
                <w:szCs w:val="20"/>
              </w:rPr>
              <w:t>Administrative costs and overheads such as office space, travel and expenses and administrative support functions</w:t>
            </w:r>
          </w:p>
        </w:tc>
        <w:tc>
          <w:tcPr>
            <w:tcW w:w="1164" w:type="dxa"/>
            <w:noWrap/>
            <w:vAlign w:val="center"/>
            <w:hideMark/>
          </w:tcPr>
          <w:p w14:paraId="551F0D55" w14:textId="77777777" w:rsidR="00503CC3" w:rsidRPr="00503CC3" w:rsidRDefault="00503CC3" w:rsidP="006165E2">
            <w:pPr>
              <w:spacing w:line="276" w:lineRule="auto"/>
              <w:jc w:val="right"/>
              <w:rPr>
                <w:szCs w:val="20"/>
              </w:rPr>
            </w:pPr>
            <w:r w:rsidRPr="00503CC3">
              <w:rPr>
                <w:szCs w:val="20"/>
              </w:rPr>
              <w:t>€520K</w:t>
            </w:r>
          </w:p>
        </w:tc>
      </w:tr>
      <w:tr w:rsidR="00503CC3" w:rsidRPr="00503CC3" w14:paraId="1CEE16EA" w14:textId="77777777" w:rsidTr="006165E2">
        <w:trPr>
          <w:cnfStyle w:val="000000100000" w:firstRow="0" w:lastRow="0" w:firstColumn="0" w:lastColumn="0" w:oddVBand="0" w:evenVBand="0" w:oddHBand="1" w:evenHBand="0" w:firstRowFirstColumn="0" w:firstRowLastColumn="0" w:lastRowFirstColumn="0" w:lastRowLastColumn="0"/>
          <w:trHeight w:val="409"/>
        </w:trPr>
        <w:tc>
          <w:tcPr>
            <w:tcW w:w="2518" w:type="dxa"/>
            <w:noWrap/>
            <w:vAlign w:val="center"/>
            <w:hideMark/>
          </w:tcPr>
          <w:p w14:paraId="35A38CA7" w14:textId="77777777" w:rsidR="00503CC3" w:rsidRPr="00503CC3" w:rsidRDefault="00503CC3" w:rsidP="006165E2">
            <w:pPr>
              <w:spacing w:line="276" w:lineRule="auto"/>
              <w:rPr>
                <w:szCs w:val="20"/>
              </w:rPr>
            </w:pPr>
            <w:r w:rsidRPr="00503CC3">
              <w:rPr>
                <w:szCs w:val="20"/>
              </w:rPr>
              <w:t>External consultants</w:t>
            </w:r>
          </w:p>
        </w:tc>
        <w:tc>
          <w:tcPr>
            <w:tcW w:w="5334" w:type="dxa"/>
            <w:vAlign w:val="center"/>
          </w:tcPr>
          <w:p w14:paraId="5E57BB28" w14:textId="77777777" w:rsidR="00503CC3" w:rsidRPr="00503CC3" w:rsidRDefault="00503CC3" w:rsidP="006165E2">
            <w:pPr>
              <w:spacing w:line="276" w:lineRule="auto"/>
              <w:rPr>
                <w:szCs w:val="20"/>
              </w:rPr>
            </w:pPr>
            <w:r w:rsidRPr="00503CC3">
              <w:rPr>
                <w:szCs w:val="20"/>
              </w:rPr>
              <w:t>External oversight and legal, professional &amp; communication</w:t>
            </w:r>
          </w:p>
        </w:tc>
        <w:tc>
          <w:tcPr>
            <w:tcW w:w="1164" w:type="dxa"/>
            <w:noWrap/>
            <w:vAlign w:val="center"/>
            <w:hideMark/>
          </w:tcPr>
          <w:p w14:paraId="66B3DB39" w14:textId="77777777" w:rsidR="00503CC3" w:rsidRPr="00503CC3" w:rsidRDefault="00503CC3" w:rsidP="006165E2">
            <w:pPr>
              <w:spacing w:line="276" w:lineRule="auto"/>
              <w:jc w:val="right"/>
              <w:rPr>
                <w:szCs w:val="20"/>
              </w:rPr>
            </w:pPr>
            <w:r w:rsidRPr="00503CC3">
              <w:rPr>
                <w:szCs w:val="20"/>
              </w:rPr>
              <w:t>€476K</w:t>
            </w:r>
          </w:p>
        </w:tc>
      </w:tr>
      <w:tr w:rsidR="00503CC3" w:rsidRPr="00503CC3" w14:paraId="0BA56E1C" w14:textId="77777777" w:rsidTr="006165E2">
        <w:trPr>
          <w:trHeight w:val="557"/>
        </w:trPr>
        <w:tc>
          <w:tcPr>
            <w:tcW w:w="2518" w:type="dxa"/>
            <w:noWrap/>
            <w:vAlign w:val="center"/>
          </w:tcPr>
          <w:p w14:paraId="74F1D67D" w14:textId="77777777" w:rsidR="00503CC3" w:rsidRPr="00503CC3" w:rsidRDefault="00503CC3" w:rsidP="006165E2">
            <w:pPr>
              <w:spacing w:line="276" w:lineRule="auto"/>
              <w:rPr>
                <w:b/>
                <w:szCs w:val="20"/>
              </w:rPr>
            </w:pPr>
            <w:r w:rsidRPr="00503CC3">
              <w:rPr>
                <w:b/>
                <w:szCs w:val="20"/>
              </w:rPr>
              <w:t>Total</w:t>
            </w:r>
          </w:p>
        </w:tc>
        <w:tc>
          <w:tcPr>
            <w:tcW w:w="5334" w:type="dxa"/>
            <w:vAlign w:val="center"/>
          </w:tcPr>
          <w:p w14:paraId="7CBE5E2F" w14:textId="77777777" w:rsidR="00503CC3" w:rsidRPr="00503CC3" w:rsidRDefault="00503CC3" w:rsidP="006165E2">
            <w:pPr>
              <w:spacing w:line="276" w:lineRule="auto"/>
              <w:rPr>
                <w:b/>
                <w:szCs w:val="20"/>
              </w:rPr>
            </w:pPr>
          </w:p>
        </w:tc>
        <w:tc>
          <w:tcPr>
            <w:tcW w:w="1164" w:type="dxa"/>
            <w:noWrap/>
            <w:vAlign w:val="center"/>
          </w:tcPr>
          <w:p w14:paraId="2E303D1E" w14:textId="77777777" w:rsidR="00503CC3" w:rsidRPr="00503CC3" w:rsidRDefault="00503CC3" w:rsidP="006165E2">
            <w:pPr>
              <w:spacing w:line="276" w:lineRule="auto"/>
              <w:jc w:val="right"/>
              <w:rPr>
                <w:b/>
                <w:szCs w:val="20"/>
              </w:rPr>
            </w:pPr>
            <w:r w:rsidRPr="00503CC3">
              <w:rPr>
                <w:b/>
                <w:szCs w:val="20"/>
              </w:rPr>
              <w:t>€6,616</w:t>
            </w:r>
          </w:p>
        </w:tc>
      </w:tr>
    </w:tbl>
    <w:p w14:paraId="647DE337" w14:textId="77777777" w:rsidR="00503CC3" w:rsidRDefault="00503CC3" w:rsidP="00503CC3">
      <w:pPr>
        <w:spacing w:line="276" w:lineRule="auto"/>
      </w:pPr>
    </w:p>
    <w:tbl>
      <w:tblPr>
        <w:tblStyle w:val="GridTable5Dark-Accent3"/>
        <w:tblW w:w="0" w:type="auto"/>
        <w:tblLook w:val="0420" w:firstRow="1" w:lastRow="0" w:firstColumn="0" w:lastColumn="0" w:noHBand="0" w:noVBand="1"/>
      </w:tblPr>
      <w:tblGrid>
        <w:gridCol w:w="2518"/>
        <w:gridCol w:w="5231"/>
        <w:gridCol w:w="1267"/>
      </w:tblGrid>
      <w:tr w:rsidR="00503CC3" w:rsidRPr="00503CC3" w14:paraId="43A9637D" w14:textId="77777777" w:rsidTr="006165E2">
        <w:trPr>
          <w:cnfStyle w:val="100000000000" w:firstRow="1" w:lastRow="0" w:firstColumn="0" w:lastColumn="0" w:oddVBand="0" w:evenVBand="0" w:oddHBand="0" w:evenHBand="0" w:firstRowFirstColumn="0" w:firstRowLastColumn="0" w:lastRowFirstColumn="0" w:lastRowLastColumn="0"/>
          <w:trHeight w:val="300"/>
        </w:trPr>
        <w:tc>
          <w:tcPr>
            <w:tcW w:w="2518" w:type="dxa"/>
            <w:noWrap/>
          </w:tcPr>
          <w:p w14:paraId="4C8293EA" w14:textId="77777777" w:rsidR="00503CC3" w:rsidRPr="00503CC3" w:rsidRDefault="00503CC3" w:rsidP="006165E2">
            <w:pPr>
              <w:spacing w:line="276" w:lineRule="auto"/>
              <w:rPr>
                <w:szCs w:val="20"/>
              </w:rPr>
            </w:pPr>
            <w:r w:rsidRPr="00503CC3">
              <w:rPr>
                <w:szCs w:val="20"/>
              </w:rPr>
              <w:t>Category (Time-limited)</w:t>
            </w:r>
          </w:p>
        </w:tc>
        <w:tc>
          <w:tcPr>
            <w:tcW w:w="5364" w:type="dxa"/>
          </w:tcPr>
          <w:p w14:paraId="4871572B" w14:textId="77777777" w:rsidR="00503CC3" w:rsidRPr="00503CC3" w:rsidRDefault="00503CC3" w:rsidP="006165E2">
            <w:pPr>
              <w:spacing w:line="276" w:lineRule="auto"/>
              <w:rPr>
                <w:szCs w:val="20"/>
              </w:rPr>
            </w:pPr>
            <w:r w:rsidRPr="00503CC3">
              <w:rPr>
                <w:szCs w:val="20"/>
              </w:rPr>
              <w:t>Description</w:t>
            </w:r>
          </w:p>
        </w:tc>
        <w:tc>
          <w:tcPr>
            <w:tcW w:w="1267" w:type="dxa"/>
            <w:noWrap/>
          </w:tcPr>
          <w:p w14:paraId="3F29DA52" w14:textId="77777777" w:rsidR="00503CC3" w:rsidRPr="00503CC3" w:rsidRDefault="00503CC3" w:rsidP="006165E2">
            <w:pPr>
              <w:spacing w:line="276" w:lineRule="auto"/>
              <w:jc w:val="right"/>
              <w:rPr>
                <w:szCs w:val="20"/>
              </w:rPr>
            </w:pPr>
            <w:r w:rsidRPr="00503CC3">
              <w:rPr>
                <w:szCs w:val="20"/>
              </w:rPr>
              <w:t>Amount</w:t>
            </w:r>
          </w:p>
        </w:tc>
      </w:tr>
      <w:tr w:rsidR="00503CC3" w:rsidRPr="00503CC3" w14:paraId="65E2A167" w14:textId="77777777" w:rsidTr="006165E2">
        <w:trPr>
          <w:cnfStyle w:val="000000100000" w:firstRow="0" w:lastRow="0" w:firstColumn="0" w:lastColumn="0" w:oddVBand="0" w:evenVBand="0" w:oddHBand="1" w:evenHBand="0" w:firstRowFirstColumn="0" w:firstRowLastColumn="0" w:lastRowFirstColumn="0" w:lastRowLastColumn="0"/>
          <w:trHeight w:val="520"/>
        </w:trPr>
        <w:tc>
          <w:tcPr>
            <w:tcW w:w="2518" w:type="dxa"/>
            <w:noWrap/>
          </w:tcPr>
          <w:p w14:paraId="545A9B3C" w14:textId="77777777" w:rsidR="00503CC3" w:rsidRPr="00503CC3" w:rsidRDefault="00503CC3" w:rsidP="006165E2">
            <w:pPr>
              <w:spacing w:line="276" w:lineRule="auto"/>
              <w:rPr>
                <w:szCs w:val="20"/>
              </w:rPr>
            </w:pPr>
            <w:r w:rsidRPr="00503CC3">
              <w:rPr>
                <w:szCs w:val="20"/>
              </w:rPr>
              <w:t>Startup costs</w:t>
            </w:r>
          </w:p>
        </w:tc>
        <w:tc>
          <w:tcPr>
            <w:tcW w:w="5364" w:type="dxa"/>
          </w:tcPr>
          <w:p w14:paraId="33022B0F" w14:textId="77777777" w:rsidR="00503CC3" w:rsidRPr="00503CC3" w:rsidRDefault="00503CC3" w:rsidP="006165E2">
            <w:pPr>
              <w:spacing w:line="276" w:lineRule="auto"/>
              <w:rPr>
                <w:szCs w:val="20"/>
              </w:rPr>
            </w:pPr>
            <w:r w:rsidRPr="00503CC3">
              <w:rPr>
                <w:szCs w:val="20"/>
              </w:rPr>
              <w:t>Amortization of start-up costs over the first 4 years</w:t>
            </w:r>
          </w:p>
        </w:tc>
        <w:tc>
          <w:tcPr>
            <w:tcW w:w="1267" w:type="dxa"/>
            <w:noWrap/>
          </w:tcPr>
          <w:p w14:paraId="753AA541" w14:textId="77777777" w:rsidR="00503CC3" w:rsidRPr="00503CC3" w:rsidRDefault="00503CC3" w:rsidP="006165E2">
            <w:pPr>
              <w:spacing w:line="276" w:lineRule="auto"/>
              <w:jc w:val="right"/>
              <w:rPr>
                <w:szCs w:val="20"/>
              </w:rPr>
            </w:pPr>
            <w:r w:rsidRPr="00503CC3">
              <w:rPr>
                <w:szCs w:val="20"/>
              </w:rPr>
              <w:t>€1,463K</w:t>
            </w:r>
          </w:p>
        </w:tc>
      </w:tr>
      <w:tr w:rsidR="00503CC3" w:rsidRPr="00503CC3" w14:paraId="3AE48747" w14:textId="77777777" w:rsidTr="006165E2">
        <w:trPr>
          <w:trHeight w:val="427"/>
        </w:trPr>
        <w:tc>
          <w:tcPr>
            <w:tcW w:w="2518" w:type="dxa"/>
            <w:noWrap/>
          </w:tcPr>
          <w:p w14:paraId="4256D0BF" w14:textId="77777777" w:rsidR="00503CC3" w:rsidRPr="00503CC3" w:rsidRDefault="00503CC3" w:rsidP="006165E2">
            <w:pPr>
              <w:spacing w:line="276" w:lineRule="auto"/>
              <w:rPr>
                <w:szCs w:val="20"/>
              </w:rPr>
            </w:pPr>
            <w:r w:rsidRPr="00503CC3">
              <w:rPr>
                <w:szCs w:val="20"/>
              </w:rPr>
              <w:t>Financing costs</w:t>
            </w:r>
          </w:p>
        </w:tc>
        <w:tc>
          <w:tcPr>
            <w:tcW w:w="5364" w:type="dxa"/>
          </w:tcPr>
          <w:p w14:paraId="1793118C" w14:textId="77777777" w:rsidR="00503CC3" w:rsidRPr="00503CC3" w:rsidRDefault="00503CC3" w:rsidP="006165E2">
            <w:pPr>
              <w:spacing w:line="276" w:lineRule="auto"/>
              <w:rPr>
                <w:szCs w:val="20"/>
              </w:rPr>
            </w:pPr>
            <w:r w:rsidRPr="00503CC3">
              <w:rPr>
                <w:szCs w:val="20"/>
              </w:rPr>
              <w:t>Start-up loan interest costs repaid over 4 years</w:t>
            </w:r>
          </w:p>
        </w:tc>
        <w:tc>
          <w:tcPr>
            <w:tcW w:w="1267" w:type="dxa"/>
            <w:noWrap/>
          </w:tcPr>
          <w:p w14:paraId="0014D964" w14:textId="77777777" w:rsidR="00503CC3" w:rsidRPr="00503CC3" w:rsidRDefault="00503CC3" w:rsidP="006165E2">
            <w:pPr>
              <w:spacing w:line="276" w:lineRule="auto"/>
              <w:jc w:val="right"/>
              <w:rPr>
                <w:szCs w:val="20"/>
              </w:rPr>
            </w:pPr>
            <w:r w:rsidRPr="00503CC3">
              <w:rPr>
                <w:szCs w:val="20"/>
              </w:rPr>
              <w:t>€320K</w:t>
            </w:r>
          </w:p>
        </w:tc>
      </w:tr>
      <w:tr w:rsidR="00503CC3" w:rsidRPr="00503CC3" w14:paraId="37DEA828" w14:textId="77777777" w:rsidTr="006165E2">
        <w:trPr>
          <w:cnfStyle w:val="000000100000" w:firstRow="0" w:lastRow="0" w:firstColumn="0" w:lastColumn="0" w:oddVBand="0" w:evenVBand="0" w:oddHBand="1" w:evenHBand="0" w:firstRowFirstColumn="0" w:firstRowLastColumn="0" w:lastRowFirstColumn="0" w:lastRowLastColumn="0"/>
          <w:trHeight w:val="1398"/>
        </w:trPr>
        <w:tc>
          <w:tcPr>
            <w:tcW w:w="2518" w:type="dxa"/>
            <w:noWrap/>
            <w:hideMark/>
          </w:tcPr>
          <w:p w14:paraId="6C26803D" w14:textId="77777777" w:rsidR="00503CC3" w:rsidRPr="00503CC3" w:rsidRDefault="00503CC3" w:rsidP="006165E2">
            <w:pPr>
              <w:spacing w:line="276" w:lineRule="auto"/>
              <w:rPr>
                <w:szCs w:val="20"/>
              </w:rPr>
            </w:pPr>
            <w:r w:rsidRPr="00503CC3">
              <w:rPr>
                <w:szCs w:val="20"/>
              </w:rPr>
              <w:t>Contingency</w:t>
            </w:r>
          </w:p>
        </w:tc>
        <w:tc>
          <w:tcPr>
            <w:tcW w:w="5364" w:type="dxa"/>
          </w:tcPr>
          <w:p w14:paraId="1C129CA6" w14:textId="77777777" w:rsidR="00503CC3" w:rsidRPr="00503CC3" w:rsidRDefault="00503CC3" w:rsidP="006165E2">
            <w:pPr>
              <w:spacing w:line="276" w:lineRule="auto"/>
              <w:rPr>
                <w:szCs w:val="20"/>
              </w:rPr>
            </w:pPr>
            <w:r w:rsidRPr="00503CC3">
              <w:rPr>
                <w:szCs w:val="20"/>
              </w:rPr>
              <w:t>An annual contingency fund to cover unplanned costs during the initial few years of operation. For example, if industry were to request the DSB to provide additional services within the cost-recovery mandate.</w:t>
            </w:r>
          </w:p>
        </w:tc>
        <w:tc>
          <w:tcPr>
            <w:tcW w:w="1267" w:type="dxa"/>
            <w:noWrap/>
            <w:hideMark/>
          </w:tcPr>
          <w:p w14:paraId="111042C8" w14:textId="77777777" w:rsidR="00503CC3" w:rsidRPr="00503CC3" w:rsidRDefault="00503CC3" w:rsidP="006165E2">
            <w:pPr>
              <w:spacing w:line="276" w:lineRule="auto"/>
              <w:jc w:val="right"/>
              <w:rPr>
                <w:szCs w:val="20"/>
              </w:rPr>
            </w:pPr>
            <w:r w:rsidRPr="00503CC3">
              <w:rPr>
                <w:szCs w:val="20"/>
              </w:rPr>
              <w:t>€375K</w:t>
            </w:r>
          </w:p>
        </w:tc>
      </w:tr>
      <w:tr w:rsidR="00503CC3" w:rsidRPr="00503CC3" w14:paraId="0A28556C" w14:textId="77777777" w:rsidTr="006165E2">
        <w:trPr>
          <w:trHeight w:val="425"/>
        </w:trPr>
        <w:tc>
          <w:tcPr>
            <w:tcW w:w="2518" w:type="dxa"/>
            <w:noWrap/>
          </w:tcPr>
          <w:p w14:paraId="73E5D487" w14:textId="77777777" w:rsidR="00503CC3" w:rsidRPr="00503CC3" w:rsidRDefault="00503CC3" w:rsidP="006165E2">
            <w:pPr>
              <w:spacing w:line="276" w:lineRule="auto"/>
              <w:rPr>
                <w:szCs w:val="20"/>
              </w:rPr>
            </w:pPr>
            <w:r w:rsidRPr="00503CC3">
              <w:rPr>
                <w:b/>
                <w:szCs w:val="20"/>
              </w:rPr>
              <w:t>Total</w:t>
            </w:r>
          </w:p>
        </w:tc>
        <w:tc>
          <w:tcPr>
            <w:tcW w:w="5364" w:type="dxa"/>
          </w:tcPr>
          <w:p w14:paraId="5317429E" w14:textId="77777777" w:rsidR="00503CC3" w:rsidRPr="00503CC3" w:rsidRDefault="00503CC3" w:rsidP="006165E2">
            <w:pPr>
              <w:spacing w:line="276" w:lineRule="auto"/>
              <w:rPr>
                <w:szCs w:val="20"/>
              </w:rPr>
            </w:pPr>
          </w:p>
        </w:tc>
        <w:tc>
          <w:tcPr>
            <w:tcW w:w="1267" w:type="dxa"/>
            <w:noWrap/>
          </w:tcPr>
          <w:p w14:paraId="3E637FBD" w14:textId="77777777" w:rsidR="00503CC3" w:rsidRPr="00503CC3" w:rsidRDefault="00503CC3" w:rsidP="006165E2">
            <w:pPr>
              <w:spacing w:line="276" w:lineRule="auto"/>
              <w:jc w:val="right"/>
              <w:rPr>
                <w:szCs w:val="20"/>
              </w:rPr>
            </w:pPr>
            <w:r w:rsidRPr="00503CC3">
              <w:rPr>
                <w:b/>
                <w:szCs w:val="20"/>
              </w:rPr>
              <w:t>€2,158K</w:t>
            </w:r>
          </w:p>
        </w:tc>
      </w:tr>
    </w:tbl>
    <w:p w14:paraId="4861C8F4" w14:textId="77777777" w:rsidR="00503CC3" w:rsidRDefault="00503CC3" w:rsidP="00503CC3">
      <w:pPr>
        <w:spacing w:line="276" w:lineRule="auto"/>
      </w:pPr>
    </w:p>
    <w:p w14:paraId="6A6725BC" w14:textId="77777777" w:rsidR="00503CC3" w:rsidRDefault="00503CC3" w:rsidP="00503CC3">
      <w:pPr>
        <w:spacing w:line="276" w:lineRule="auto"/>
      </w:pPr>
      <w:r>
        <w:lastRenderedPageBreak/>
        <w:t xml:space="preserve">It should be noted that the DSB is deliberately structured to minimize operational costs since costs are shared across the industry.  By adding the contingency to the budget in the first instance, the DSB is creating an important buffer to maintain the financial stability of the industry utility.  This buffer will be used to cover any unforeseen or previously unplanned costs that are incurred.  Further, the deliberate service design providing for external consultants to review the DSB’s annual operation with a publicly available report is designed to ensure exceptional transparency. </w:t>
      </w:r>
    </w:p>
    <w:p w14:paraId="121F891F" w14:textId="77777777" w:rsidR="00503CC3" w:rsidRDefault="00503CC3" w:rsidP="00503CC3">
      <w:pPr>
        <w:spacing w:line="276" w:lineRule="auto"/>
      </w:pPr>
      <w:r>
        <w:t>Regarding the use of contingency funds to deliver additional functionality, the DSB will only redirect these funds after consulting with the industry in the same way it has for the Traded-on Trading Venue (ToTV) service that is only now being added to the core ISIN service.  Depending on the timeframe for the required new service, the DSB has the option of embedding those costs into the following year’s budget – however, should there not be a perfect synchronization between the new service delivery and the DSB’s financial year, some use of the contingency will be required.</w:t>
      </w:r>
    </w:p>
    <w:p w14:paraId="5EDC2C59" w14:textId="77777777" w:rsidR="00B744DE" w:rsidRDefault="00B744DE">
      <w:bookmarkStart w:id="28" w:name="_Toc471387452"/>
      <w:bookmarkStart w:id="29" w:name="_Toc471396367"/>
      <w:bookmarkStart w:id="30" w:name="_Toc471396411"/>
      <w:bookmarkStart w:id="31" w:name="_Ref480364983"/>
      <w:bookmarkEnd w:id="28"/>
      <w:bookmarkEnd w:id="29"/>
      <w:bookmarkEnd w:id="30"/>
    </w:p>
    <w:p w14:paraId="3F9E341D" w14:textId="77777777" w:rsidR="00FF6FF6" w:rsidRDefault="001C032B" w:rsidP="001C032B">
      <w:pPr>
        <w:pStyle w:val="Heading2"/>
      </w:pPr>
      <w:bookmarkStart w:id="32" w:name="_Toc485052496"/>
      <w:bookmarkStart w:id="33" w:name="_Toc485055103"/>
      <w:bookmarkStart w:id="34" w:name="_Toc485057512"/>
      <w:bookmarkStart w:id="35" w:name="_Toc485055110"/>
      <w:bookmarkStart w:id="36" w:name="_Toc485057518"/>
      <w:bookmarkStart w:id="37" w:name="_Ref480385378"/>
      <w:bookmarkStart w:id="38" w:name="_Ref480385384"/>
      <w:bookmarkStart w:id="39" w:name="_Toc517783486"/>
      <w:bookmarkStart w:id="40" w:name="_Toc517969373"/>
      <w:bookmarkEnd w:id="31"/>
      <w:bookmarkEnd w:id="32"/>
      <w:bookmarkEnd w:id="33"/>
      <w:bookmarkEnd w:id="34"/>
      <w:bookmarkEnd w:id="35"/>
      <w:bookmarkEnd w:id="36"/>
      <w:r>
        <w:t xml:space="preserve">Appendix 2 - </w:t>
      </w:r>
      <w:r w:rsidR="00522F20">
        <w:t xml:space="preserve">Principles for </w:t>
      </w:r>
      <w:r w:rsidR="005A21FD">
        <w:t xml:space="preserve">Excess </w:t>
      </w:r>
      <w:r w:rsidR="00D20C63">
        <w:t>Fee Income Redistribution</w:t>
      </w:r>
      <w:bookmarkEnd w:id="37"/>
      <w:bookmarkEnd w:id="38"/>
      <w:bookmarkEnd w:id="39"/>
      <w:bookmarkEnd w:id="40"/>
    </w:p>
    <w:p w14:paraId="334217F3" w14:textId="77777777" w:rsidR="00B71AAA" w:rsidRPr="00B71AAA" w:rsidRDefault="005A21FD" w:rsidP="00765BA8">
      <w:pPr>
        <w:spacing w:line="276" w:lineRule="auto"/>
      </w:pPr>
      <w:r>
        <w:t xml:space="preserve">The following principles will guide the use of any excess </w:t>
      </w:r>
      <w:r w:rsidR="0052220B">
        <w:t xml:space="preserve">fee </w:t>
      </w:r>
      <w:r w:rsidR="00191FFD">
        <w:t xml:space="preserve">income </w:t>
      </w:r>
      <w:r>
        <w:t>received by the DSB</w:t>
      </w:r>
      <w:r w:rsidR="0052220B">
        <w:t xml:space="preserve"> – primarily generated </w:t>
      </w:r>
      <w:r w:rsidR="007E6DE6">
        <w:t>because of</w:t>
      </w:r>
      <w:r w:rsidR="0052220B">
        <w:t xml:space="preserve"> late joiners and/ or mid-cycle upgrades</w:t>
      </w:r>
      <w:r w:rsidR="00B71AAA">
        <w:t>:</w:t>
      </w:r>
    </w:p>
    <w:p w14:paraId="099D8FD6" w14:textId="77777777" w:rsidR="00FF6FF6" w:rsidRDefault="005A21FD" w:rsidP="00C30612">
      <w:pPr>
        <w:pStyle w:val="ListParagraph"/>
        <w:numPr>
          <w:ilvl w:val="0"/>
          <w:numId w:val="2"/>
        </w:numPr>
        <w:spacing w:line="276" w:lineRule="auto"/>
      </w:pPr>
      <w:r>
        <w:t xml:space="preserve">100% of the excess </w:t>
      </w:r>
      <w:r w:rsidR="0052220B">
        <w:t>fee income</w:t>
      </w:r>
      <w:r>
        <w:t xml:space="preserve"> will be passed back to </w:t>
      </w:r>
      <w:r w:rsidR="00530580">
        <w:t>DSB Standard</w:t>
      </w:r>
      <w:r w:rsidR="0052220B">
        <w:t xml:space="preserve"> and Power U</w:t>
      </w:r>
      <w:r>
        <w:t>ser</w:t>
      </w:r>
      <w:r w:rsidR="0052220B">
        <w:t>s</w:t>
      </w:r>
    </w:p>
    <w:p w14:paraId="7CA3ADF3" w14:textId="77777777" w:rsidR="00DA0B31" w:rsidRDefault="0078220B" w:rsidP="00C30612">
      <w:pPr>
        <w:pStyle w:val="ListParagraph"/>
        <w:numPr>
          <w:ilvl w:val="0"/>
          <w:numId w:val="2"/>
        </w:numPr>
        <w:spacing w:line="276" w:lineRule="auto"/>
      </w:pPr>
      <w:r>
        <w:t>The mechanism used to address any excess</w:t>
      </w:r>
      <w:r w:rsidR="00941895">
        <w:t xml:space="preserve"> fee income received by the DSB</w:t>
      </w:r>
      <w:r>
        <w:t xml:space="preserve"> should be simple and transparent</w:t>
      </w:r>
    </w:p>
    <w:p w14:paraId="2E553FBC" w14:textId="77777777" w:rsidR="00127C33" w:rsidRDefault="00E33DC2" w:rsidP="00765BA8">
      <w:pPr>
        <w:spacing w:line="276" w:lineRule="auto"/>
      </w:pPr>
      <w:r>
        <w:t xml:space="preserve">Excess </w:t>
      </w:r>
      <w:r w:rsidR="00941895">
        <w:t xml:space="preserve">fee income earned </w:t>
      </w:r>
      <w:r>
        <w:t xml:space="preserve">will be used to reduce the </w:t>
      </w:r>
      <w:r w:rsidR="005A21FD">
        <w:t xml:space="preserve">fees </w:t>
      </w:r>
      <w:r>
        <w:t xml:space="preserve">of the DSB for the following year and will form part of the variables set one month before the start of the </w:t>
      </w:r>
      <w:r w:rsidR="002F4FF9">
        <w:t>annual subscription period</w:t>
      </w:r>
      <w:r w:rsidR="00127C33">
        <w:t xml:space="preserve">. The DSB assumes that most users will roll their annual contracts with the utility. </w:t>
      </w:r>
    </w:p>
    <w:p w14:paraId="177ADDE6" w14:textId="77777777" w:rsidR="00AB4355" w:rsidRDefault="006522C1" w:rsidP="00765BA8">
      <w:pPr>
        <w:spacing w:line="276" w:lineRule="auto"/>
      </w:pPr>
      <w:r>
        <w:t xml:space="preserve">Respondents agreed with the principle of using excess revenue to reduce user fees for the following year.  There were additional suggestions around ensuring any excess is minimized through the calculation of initial fees and offsetting on a firm-by-firm basis.  </w:t>
      </w:r>
    </w:p>
    <w:p w14:paraId="5F9F88C9" w14:textId="77777777" w:rsidR="004C1BD4" w:rsidRDefault="006522C1" w:rsidP="00765BA8">
      <w:pPr>
        <w:spacing w:line="276" w:lineRule="auto"/>
      </w:pPr>
      <w:r>
        <w:t xml:space="preserve">Through the fee model explained in this consultation, the DSB is focused on ensuring that minimal funds are raised although this is balanced against the need for financial stability of a key market utility.  Reallocation on a firm-by-firm basis will only be considered fair if the DSB </w:t>
      </w:r>
      <w:r w:rsidR="00EA24D0">
        <w:t>also account</w:t>
      </w:r>
      <w:r w:rsidR="003A2B05">
        <w:t>s for</w:t>
      </w:r>
      <w:r w:rsidR="00EA24D0">
        <w:t xml:space="preserve"> the exact amount of data and the number of ISINs being used by each firm.  Not only would this analysis be an additional cost, it potentially would also skew the charges against those who ‘acted first’ to create ISINs that were then used by the broader community.  The DSB prefers to keep the return of excess fees simple and reduce the upcoming year’s entire cost base.</w:t>
      </w:r>
    </w:p>
    <w:p w14:paraId="064F64C2" w14:textId="77777777" w:rsidR="00F44D6D" w:rsidRDefault="00F44D6D">
      <w:pPr>
        <w:rPr>
          <w:rFonts w:asciiTheme="majorHAnsi" w:eastAsiaTheme="majorEastAsia" w:hAnsiTheme="majorHAnsi" w:cstheme="majorBidi"/>
          <w:color w:val="2E74B5" w:themeColor="accent1" w:themeShade="BF"/>
          <w:sz w:val="32"/>
          <w:szCs w:val="32"/>
        </w:rPr>
      </w:pPr>
    </w:p>
    <w:p w14:paraId="2ED922DF" w14:textId="77777777" w:rsidR="00112673" w:rsidRDefault="00112673">
      <w:pPr>
        <w:rPr>
          <w:rFonts w:asciiTheme="majorHAnsi" w:eastAsiaTheme="majorEastAsia" w:hAnsiTheme="majorHAnsi" w:cstheme="majorBidi"/>
          <w:color w:val="2E74B5" w:themeColor="accent1" w:themeShade="BF"/>
          <w:sz w:val="26"/>
          <w:szCs w:val="26"/>
        </w:rPr>
      </w:pPr>
      <w:r>
        <w:br w:type="page"/>
      </w:r>
    </w:p>
    <w:p w14:paraId="5B1B87EC" w14:textId="77777777" w:rsidR="003D1857" w:rsidRDefault="003D1857" w:rsidP="003D1857">
      <w:pPr>
        <w:pStyle w:val="Heading2"/>
      </w:pPr>
      <w:bookmarkStart w:id="41" w:name="_Toc517969374"/>
      <w:bookmarkStart w:id="42" w:name="_Appendix_3_-"/>
      <w:bookmarkEnd w:id="42"/>
      <w:r>
        <w:lastRenderedPageBreak/>
        <w:t>Appendix 3 - Second Consultation Questions for Industry</w:t>
      </w:r>
      <w:bookmarkEnd w:id="41"/>
      <w:r>
        <w:t xml:space="preserve"> </w:t>
      </w:r>
    </w:p>
    <w:p w14:paraId="4A3A4A71" w14:textId="77777777" w:rsidR="003D1857" w:rsidRPr="004A5599" w:rsidRDefault="003D1857" w:rsidP="003D1857">
      <w:pPr>
        <w:pStyle w:val="NormalWeb"/>
        <w:spacing w:line="276" w:lineRule="auto"/>
        <w:rPr>
          <w:rFonts w:asciiTheme="minorHAnsi" w:eastAsiaTheme="minorHAnsi" w:hAnsiTheme="minorHAnsi" w:cstheme="minorBidi"/>
          <w:b/>
          <w:sz w:val="22"/>
          <w:szCs w:val="22"/>
          <w:lang w:val="en-GB"/>
        </w:rPr>
      </w:pPr>
      <w:r w:rsidRPr="004A5599">
        <w:rPr>
          <w:rFonts w:asciiTheme="minorHAnsi" w:eastAsiaTheme="minorHAnsi" w:hAnsiTheme="minorHAnsi" w:cstheme="minorBidi"/>
          <w:b/>
          <w:sz w:val="22"/>
          <w:szCs w:val="22"/>
          <w:lang w:val="en-GB"/>
        </w:rPr>
        <w:t xml:space="preserve">Proposed Format for Industry Responses to the DSB Consultations: </w:t>
      </w:r>
    </w:p>
    <w:p w14:paraId="3946A57F" w14:textId="77777777" w:rsidR="003D1857" w:rsidRPr="00256ED7" w:rsidRDefault="003D1857" w:rsidP="003D1857">
      <w:pPr>
        <w:pStyle w:val="ListParagraph"/>
        <w:numPr>
          <w:ilvl w:val="0"/>
          <w:numId w:val="7"/>
        </w:numPr>
        <w:spacing w:after="80" w:line="276" w:lineRule="auto"/>
        <w:ind w:left="357" w:hanging="357"/>
        <w:contextualSpacing w:val="0"/>
      </w:pPr>
      <w:r w:rsidRPr="00256ED7">
        <w:t xml:space="preserve">Consultation responses should be completed using the form below and emailed to </w:t>
      </w:r>
      <w:hyperlink r:id="rId24" w:history="1">
        <w:r w:rsidRPr="00B3249D">
          <w:rPr>
            <w:rStyle w:val="Hyperlink"/>
          </w:rPr>
          <w:t>industry_consultation@anna-dsb.com</w:t>
        </w:r>
      </w:hyperlink>
      <w:r>
        <w:t xml:space="preserve"> </w:t>
      </w:r>
      <w:r w:rsidRPr="00256ED7">
        <w:t xml:space="preserve"> </w:t>
      </w:r>
    </w:p>
    <w:p w14:paraId="6647C7CF" w14:textId="77777777" w:rsidR="003D1857" w:rsidRPr="00256ED7" w:rsidRDefault="003D1857" w:rsidP="003D1857">
      <w:pPr>
        <w:pStyle w:val="ListParagraph"/>
        <w:numPr>
          <w:ilvl w:val="0"/>
          <w:numId w:val="7"/>
        </w:numPr>
        <w:spacing w:after="80" w:line="276" w:lineRule="auto"/>
        <w:ind w:left="357" w:hanging="357"/>
        <w:contextualSpacing w:val="0"/>
      </w:pPr>
      <w:r w:rsidRPr="00256ED7">
        <w:t>The option is provided for respondents to stipulate whether the response is to be treated as anonymous. Note that all responses are published on the DSB website and are not anonymized unless specific requests are made</w:t>
      </w:r>
      <w:r>
        <w:t xml:space="preserve"> </w:t>
      </w:r>
    </w:p>
    <w:p w14:paraId="6AC945C2" w14:textId="77777777" w:rsidR="003D1857" w:rsidRPr="00256ED7" w:rsidRDefault="003D1857" w:rsidP="003D1857">
      <w:pPr>
        <w:pStyle w:val="ListParagraph"/>
        <w:numPr>
          <w:ilvl w:val="0"/>
          <w:numId w:val="7"/>
        </w:numPr>
        <w:spacing w:after="80" w:line="276" w:lineRule="auto"/>
        <w:ind w:left="357" w:hanging="357"/>
        <w:contextualSpacing w:val="0"/>
      </w:pPr>
      <w:r w:rsidRPr="00256ED7">
        <w:t>Where applicable, responses should include specific and actionable alternative solution(s) that would be acceptable to the respondent to ensure that the DSB can work to reflect the best target solution sought by industry (within the governance framework of the utility)</w:t>
      </w:r>
      <w:r>
        <w:t xml:space="preserve"> </w:t>
      </w:r>
    </w:p>
    <w:p w14:paraId="46862374" w14:textId="77777777" w:rsidR="003D1857" w:rsidRPr="00256ED7" w:rsidRDefault="003D1857" w:rsidP="003D1857">
      <w:pPr>
        <w:pStyle w:val="ListParagraph"/>
        <w:numPr>
          <w:ilvl w:val="0"/>
          <w:numId w:val="7"/>
        </w:numPr>
        <w:spacing w:after="80" w:line="276" w:lineRule="auto"/>
        <w:ind w:left="357" w:hanging="357"/>
        <w:contextualSpacing w:val="0"/>
      </w:pPr>
      <w:r w:rsidRPr="00256ED7">
        <w:t>As with prior consultations, each organization is permitted a single response</w:t>
      </w:r>
      <w:r>
        <w:t xml:space="preserve"> </w:t>
      </w:r>
    </w:p>
    <w:p w14:paraId="230AFC46" w14:textId="77777777" w:rsidR="003D1857" w:rsidRPr="00256ED7" w:rsidRDefault="003D1857" w:rsidP="003D1857">
      <w:pPr>
        <w:pStyle w:val="ListParagraph"/>
        <w:numPr>
          <w:ilvl w:val="0"/>
          <w:numId w:val="7"/>
        </w:numPr>
        <w:spacing w:after="80" w:line="276" w:lineRule="auto"/>
        <w:ind w:left="357" w:hanging="357"/>
        <w:contextualSpacing w:val="0"/>
      </w:pPr>
      <w:r w:rsidRPr="00256ED7">
        <w:t xml:space="preserve">Responses should include details of the type of organization responding to the consultation and its current user category to enable the DSB to analyse client needs in more detail and include anonymized statistics as part of the </w:t>
      </w:r>
      <w:r>
        <w:t xml:space="preserve">final </w:t>
      </w:r>
      <w:r w:rsidRPr="00256ED7">
        <w:t>consultation report</w:t>
      </w:r>
      <w:r>
        <w:t xml:space="preserve"> </w:t>
      </w:r>
    </w:p>
    <w:p w14:paraId="777CC8D1" w14:textId="77777777" w:rsidR="003D1857" w:rsidRPr="00256ED7" w:rsidRDefault="003D1857" w:rsidP="003D1857">
      <w:pPr>
        <w:pStyle w:val="ListParagraph"/>
        <w:numPr>
          <w:ilvl w:val="0"/>
          <w:numId w:val="7"/>
        </w:numPr>
        <w:spacing w:after="80" w:line="276" w:lineRule="auto"/>
        <w:ind w:left="357" w:hanging="357"/>
        <w:contextualSpacing w:val="0"/>
      </w:pPr>
      <w:r w:rsidRPr="00256ED7">
        <w:t xml:space="preserve">Responses must be received by 5pm UTC on </w:t>
      </w:r>
      <w:r>
        <w:t>27</w:t>
      </w:r>
      <w:r w:rsidRPr="003D4E8B">
        <w:rPr>
          <w:vertAlign w:val="superscript"/>
        </w:rPr>
        <w:t>th</w:t>
      </w:r>
      <w:r>
        <w:t xml:space="preserve"> July 2</w:t>
      </w:r>
      <w:r w:rsidRPr="00256ED7">
        <w:t xml:space="preserve">018 </w:t>
      </w:r>
    </w:p>
    <w:p w14:paraId="0930ED65" w14:textId="77777777" w:rsidR="003D1857" w:rsidRDefault="003D1857" w:rsidP="003D1857">
      <w:pPr>
        <w:pStyle w:val="ListParagraph"/>
        <w:numPr>
          <w:ilvl w:val="0"/>
          <w:numId w:val="7"/>
        </w:numPr>
        <w:spacing w:after="80" w:line="276" w:lineRule="auto"/>
        <w:ind w:left="357" w:hanging="357"/>
        <w:contextualSpacing w:val="0"/>
      </w:pPr>
      <w:r w:rsidRPr="00256ED7">
        <w:t>All consultation related queries should be directed to</w:t>
      </w:r>
      <w:r>
        <w:t xml:space="preserve"> </w:t>
      </w:r>
      <w:hyperlink r:id="rId25" w:history="1">
        <w:r w:rsidRPr="00B3249D">
          <w:rPr>
            <w:rStyle w:val="Hyperlink"/>
          </w:rPr>
          <w:t>industry_consultation@anna-dsb.com</w:t>
        </w:r>
      </w:hyperlink>
      <w:r>
        <w:t xml:space="preserve"> </w:t>
      </w:r>
      <w:r w:rsidRPr="00256ED7">
        <w:t xml:space="preserve"> </w:t>
      </w:r>
    </w:p>
    <w:p w14:paraId="350FEBB9" w14:textId="77777777" w:rsidR="003D1857" w:rsidRDefault="003D1857" w:rsidP="003D1857">
      <w:pPr>
        <w:spacing w:line="276" w:lineRule="auto"/>
      </w:pPr>
    </w:p>
    <w:tbl>
      <w:tblPr>
        <w:tblStyle w:val="TableGrid"/>
        <w:tblW w:w="9895" w:type="dxa"/>
        <w:tblLook w:val="04A0" w:firstRow="1" w:lastRow="0" w:firstColumn="1" w:lastColumn="0" w:noHBand="0" w:noVBand="1"/>
      </w:tblPr>
      <w:tblGrid>
        <w:gridCol w:w="647"/>
        <w:gridCol w:w="4856"/>
        <w:gridCol w:w="4392"/>
      </w:tblGrid>
      <w:tr w:rsidR="003D1857" w14:paraId="5F11161C" w14:textId="77777777" w:rsidTr="00AC1371">
        <w:trPr>
          <w:trHeight w:val="454"/>
        </w:trPr>
        <w:tc>
          <w:tcPr>
            <w:tcW w:w="5503" w:type="dxa"/>
            <w:gridSpan w:val="2"/>
            <w:vAlign w:val="center"/>
          </w:tcPr>
          <w:p w14:paraId="3ED2DC3E" w14:textId="77777777" w:rsidR="003D1857" w:rsidRDefault="003D1857" w:rsidP="00AC1371">
            <w:pPr>
              <w:spacing w:line="276" w:lineRule="auto"/>
            </w:pPr>
            <w:r w:rsidRPr="00112C76">
              <w:rPr>
                <w:b/>
              </w:rPr>
              <w:t>Name</w:t>
            </w:r>
          </w:p>
        </w:tc>
        <w:tc>
          <w:tcPr>
            <w:tcW w:w="4392" w:type="dxa"/>
            <w:vAlign w:val="center"/>
          </w:tcPr>
          <w:p w14:paraId="3A580DAA" w14:textId="77777777" w:rsidR="003D1857" w:rsidRDefault="003D1857" w:rsidP="00AC1371">
            <w:pPr>
              <w:spacing w:line="276" w:lineRule="auto"/>
            </w:pPr>
          </w:p>
        </w:tc>
      </w:tr>
      <w:tr w:rsidR="003D1857" w14:paraId="3450CC57" w14:textId="77777777" w:rsidTr="00AC1371">
        <w:trPr>
          <w:trHeight w:val="454"/>
        </w:trPr>
        <w:tc>
          <w:tcPr>
            <w:tcW w:w="5503" w:type="dxa"/>
            <w:gridSpan w:val="2"/>
            <w:vAlign w:val="center"/>
          </w:tcPr>
          <w:p w14:paraId="2D8A2AD5" w14:textId="77777777" w:rsidR="003D1857" w:rsidRDefault="003D1857" w:rsidP="00AC1371">
            <w:pPr>
              <w:spacing w:line="276" w:lineRule="auto"/>
            </w:pPr>
            <w:r w:rsidRPr="00112C76">
              <w:rPr>
                <w:b/>
              </w:rPr>
              <w:t>Email Address</w:t>
            </w:r>
          </w:p>
        </w:tc>
        <w:tc>
          <w:tcPr>
            <w:tcW w:w="4392" w:type="dxa"/>
            <w:vAlign w:val="center"/>
          </w:tcPr>
          <w:p w14:paraId="2899EE1E" w14:textId="77777777" w:rsidR="003D1857" w:rsidRDefault="003D1857" w:rsidP="00AC1371">
            <w:pPr>
              <w:spacing w:line="276" w:lineRule="auto"/>
            </w:pPr>
          </w:p>
        </w:tc>
      </w:tr>
      <w:tr w:rsidR="003D1857" w14:paraId="5581E6CD" w14:textId="77777777" w:rsidTr="00AC1371">
        <w:trPr>
          <w:trHeight w:val="454"/>
        </w:trPr>
        <w:tc>
          <w:tcPr>
            <w:tcW w:w="5503" w:type="dxa"/>
            <w:gridSpan w:val="2"/>
            <w:vAlign w:val="center"/>
          </w:tcPr>
          <w:p w14:paraId="1ABBFE79" w14:textId="77777777" w:rsidR="003D1857" w:rsidRDefault="003D1857" w:rsidP="00AC1371">
            <w:pPr>
              <w:spacing w:line="276" w:lineRule="auto"/>
            </w:pPr>
            <w:r w:rsidRPr="00112C76">
              <w:rPr>
                <w:b/>
              </w:rPr>
              <w:t>Company</w:t>
            </w:r>
          </w:p>
        </w:tc>
        <w:tc>
          <w:tcPr>
            <w:tcW w:w="4392" w:type="dxa"/>
            <w:vAlign w:val="center"/>
          </w:tcPr>
          <w:p w14:paraId="391E2BC5" w14:textId="77777777" w:rsidR="003D1857" w:rsidRDefault="003D1857" w:rsidP="00AC1371">
            <w:pPr>
              <w:spacing w:line="276" w:lineRule="auto"/>
            </w:pPr>
          </w:p>
        </w:tc>
      </w:tr>
      <w:tr w:rsidR="003D1857" w14:paraId="1149C3EA" w14:textId="77777777" w:rsidTr="00AC1371">
        <w:trPr>
          <w:trHeight w:val="454"/>
        </w:trPr>
        <w:tc>
          <w:tcPr>
            <w:tcW w:w="5503" w:type="dxa"/>
            <w:gridSpan w:val="2"/>
            <w:vAlign w:val="center"/>
          </w:tcPr>
          <w:p w14:paraId="73803630" w14:textId="77777777" w:rsidR="003D1857" w:rsidRDefault="003D1857" w:rsidP="00AC1371">
            <w:pPr>
              <w:spacing w:line="276" w:lineRule="auto"/>
            </w:pPr>
            <w:r w:rsidRPr="00112C76">
              <w:rPr>
                <w:b/>
              </w:rPr>
              <w:t>Company Type</w:t>
            </w:r>
          </w:p>
        </w:tc>
        <w:tc>
          <w:tcPr>
            <w:tcW w:w="4392" w:type="dxa"/>
            <w:vAlign w:val="center"/>
          </w:tcPr>
          <w:p w14:paraId="18ABC8F9" w14:textId="77777777" w:rsidR="003D1857" w:rsidRDefault="003D1857" w:rsidP="00AC1371">
            <w:pPr>
              <w:spacing w:line="276" w:lineRule="auto"/>
            </w:pPr>
          </w:p>
        </w:tc>
      </w:tr>
      <w:tr w:rsidR="003D1857" w14:paraId="44519027" w14:textId="77777777" w:rsidTr="00AC1371">
        <w:trPr>
          <w:trHeight w:val="454"/>
        </w:trPr>
        <w:tc>
          <w:tcPr>
            <w:tcW w:w="5503" w:type="dxa"/>
            <w:gridSpan w:val="2"/>
            <w:vAlign w:val="center"/>
          </w:tcPr>
          <w:p w14:paraId="55ED981C" w14:textId="77777777" w:rsidR="003D1857" w:rsidRDefault="003D1857" w:rsidP="00AC1371">
            <w:pPr>
              <w:spacing w:line="276" w:lineRule="auto"/>
            </w:pPr>
            <w:r w:rsidRPr="00112C76">
              <w:rPr>
                <w:b/>
              </w:rPr>
              <w:t>User Type</w:t>
            </w:r>
          </w:p>
        </w:tc>
        <w:tc>
          <w:tcPr>
            <w:tcW w:w="4392" w:type="dxa"/>
            <w:vAlign w:val="center"/>
          </w:tcPr>
          <w:p w14:paraId="16F15B8B" w14:textId="77777777" w:rsidR="003D1857" w:rsidRDefault="003D1857" w:rsidP="00AC1371">
            <w:pPr>
              <w:spacing w:line="276" w:lineRule="auto"/>
            </w:pPr>
          </w:p>
        </w:tc>
      </w:tr>
      <w:tr w:rsidR="003D1857" w14:paraId="58D23403" w14:textId="77777777" w:rsidTr="00AC1371">
        <w:trPr>
          <w:trHeight w:val="454"/>
        </w:trPr>
        <w:tc>
          <w:tcPr>
            <w:tcW w:w="5503" w:type="dxa"/>
            <w:gridSpan w:val="2"/>
            <w:vAlign w:val="center"/>
          </w:tcPr>
          <w:p w14:paraId="08140BE7" w14:textId="77777777" w:rsidR="003D1857" w:rsidRDefault="003D1857" w:rsidP="00AC1371">
            <w:pPr>
              <w:spacing w:line="276" w:lineRule="auto"/>
            </w:pPr>
            <w:r>
              <w:t>Select if response should be anonymous</w:t>
            </w:r>
          </w:p>
        </w:tc>
        <w:tc>
          <w:tcPr>
            <w:tcW w:w="4392" w:type="dxa"/>
            <w:vAlign w:val="center"/>
          </w:tcPr>
          <w:p w14:paraId="04194755" w14:textId="77777777" w:rsidR="003D1857" w:rsidRDefault="003D1857" w:rsidP="00AC1371">
            <w:pPr>
              <w:spacing w:line="276" w:lineRule="auto"/>
            </w:pPr>
            <w:r>
              <w:rPr>
                <w:rFonts w:ascii="Segoe UI Symbol" w:hAnsi="Segoe UI Symbol" w:cs="Segoe UI Symbol"/>
                <w:color w:val="000000"/>
                <w:sz w:val="27"/>
                <w:szCs w:val="27"/>
              </w:rPr>
              <w:t>☐</w:t>
            </w:r>
          </w:p>
        </w:tc>
      </w:tr>
      <w:tr w:rsidR="003D1857" w14:paraId="5125EED4" w14:textId="77777777" w:rsidTr="00AC1371">
        <w:tc>
          <w:tcPr>
            <w:tcW w:w="647" w:type="dxa"/>
            <w:shd w:val="clear" w:color="auto" w:fill="D9E2F3" w:themeFill="accent5" w:themeFillTint="33"/>
            <w:vAlign w:val="center"/>
          </w:tcPr>
          <w:p w14:paraId="13223068" w14:textId="77777777" w:rsidR="003D1857" w:rsidRPr="009F45E4" w:rsidRDefault="003D1857" w:rsidP="00AC1371">
            <w:pPr>
              <w:spacing w:line="276" w:lineRule="auto"/>
              <w:rPr>
                <w:b/>
              </w:rPr>
            </w:pPr>
            <w:r w:rsidRPr="009F45E4">
              <w:rPr>
                <w:b/>
              </w:rPr>
              <w:t>#</w:t>
            </w:r>
          </w:p>
        </w:tc>
        <w:tc>
          <w:tcPr>
            <w:tcW w:w="4856" w:type="dxa"/>
            <w:shd w:val="clear" w:color="auto" w:fill="D9E2F3" w:themeFill="accent5" w:themeFillTint="33"/>
            <w:vAlign w:val="center"/>
          </w:tcPr>
          <w:p w14:paraId="21A7CD0A" w14:textId="77777777" w:rsidR="003D1857" w:rsidRPr="009F45E4" w:rsidRDefault="003D1857" w:rsidP="00AC1371">
            <w:pPr>
              <w:spacing w:after="60" w:line="276" w:lineRule="auto"/>
              <w:rPr>
                <w:b/>
              </w:rPr>
            </w:pPr>
            <w:r w:rsidRPr="009F45E4">
              <w:rPr>
                <w:b/>
              </w:rPr>
              <w:t>Question for Consultation</w:t>
            </w:r>
          </w:p>
        </w:tc>
        <w:tc>
          <w:tcPr>
            <w:tcW w:w="4392" w:type="dxa"/>
            <w:shd w:val="clear" w:color="auto" w:fill="D9E2F3" w:themeFill="accent5" w:themeFillTint="33"/>
            <w:vAlign w:val="center"/>
          </w:tcPr>
          <w:p w14:paraId="3D71C882" w14:textId="77777777" w:rsidR="003D1857" w:rsidRPr="009F45E4" w:rsidRDefault="003D1857" w:rsidP="00AC1371">
            <w:pPr>
              <w:spacing w:line="276" w:lineRule="auto"/>
              <w:rPr>
                <w:b/>
              </w:rPr>
            </w:pPr>
            <w:r w:rsidRPr="009F45E4">
              <w:rPr>
                <w:b/>
              </w:rPr>
              <w:t>Participant’s Response</w:t>
            </w:r>
          </w:p>
        </w:tc>
      </w:tr>
      <w:tr w:rsidR="00A401DC" w14:paraId="64EA34FE" w14:textId="77777777" w:rsidTr="00AC1371">
        <w:trPr>
          <w:trHeight w:val="754"/>
        </w:trPr>
        <w:tc>
          <w:tcPr>
            <w:tcW w:w="9895" w:type="dxa"/>
            <w:gridSpan w:val="3"/>
            <w:vAlign w:val="center"/>
          </w:tcPr>
          <w:p w14:paraId="37481F6C" w14:textId="77777777" w:rsidR="00A401DC" w:rsidRDefault="00A401DC" w:rsidP="00AC1371">
            <w:pPr>
              <w:spacing w:line="276" w:lineRule="auto"/>
            </w:pPr>
            <w:r w:rsidRPr="001F6B72">
              <w:rPr>
                <w:b/>
                <w:color w:val="0070C0"/>
                <w:sz w:val="24"/>
              </w:rPr>
              <w:t>Section 1: User Categorization and Fees</w:t>
            </w:r>
          </w:p>
        </w:tc>
      </w:tr>
      <w:tr w:rsidR="003D1857" w14:paraId="7B967D91" w14:textId="77777777" w:rsidTr="00AC1371">
        <w:trPr>
          <w:trHeight w:val="1408"/>
        </w:trPr>
        <w:tc>
          <w:tcPr>
            <w:tcW w:w="647" w:type="dxa"/>
            <w:vAlign w:val="center"/>
          </w:tcPr>
          <w:p w14:paraId="07FFEE69" w14:textId="77777777" w:rsidR="003D1857" w:rsidRDefault="005B10F1" w:rsidP="00AC1371">
            <w:pPr>
              <w:spacing w:line="276" w:lineRule="auto"/>
            </w:pPr>
            <w:r>
              <w:t>1</w:t>
            </w:r>
          </w:p>
        </w:tc>
        <w:tc>
          <w:tcPr>
            <w:tcW w:w="4856" w:type="dxa"/>
            <w:vAlign w:val="center"/>
          </w:tcPr>
          <w:p w14:paraId="0069E879" w14:textId="15E315E5" w:rsidR="00FD37C7" w:rsidRDefault="00FD37C7" w:rsidP="00AC1371">
            <w:pPr>
              <w:spacing w:line="276" w:lineRule="auto"/>
            </w:pPr>
            <w:r>
              <w:t xml:space="preserve">What specific and objectively verifiable models (if any) are you able to propose that reasonably address the needs of multi-segment and/or multi-market trading venues, whilst not placing an adverse cost on new or smaller market participants (refer to 2.2.1 </w:t>
            </w:r>
            <w:r>
              <w:fldChar w:fldCharType="begin"/>
            </w:r>
            <w:r>
              <w:instrText xml:space="preserve"> REF _Ref517874943 \r \h  \* MERGEFORMAT </w:instrText>
            </w:r>
            <w:r>
              <w:fldChar w:fldCharType="separate"/>
            </w:r>
            <w:r w:rsidR="00710053">
              <w:t>a)</w:t>
            </w:r>
            <w:r>
              <w:fldChar w:fldCharType="end"/>
            </w:r>
            <w:r>
              <w:t xml:space="preserve">? </w:t>
            </w:r>
          </w:p>
          <w:p w14:paraId="7A081184" w14:textId="77777777" w:rsidR="00FD37C7" w:rsidRDefault="00FD37C7" w:rsidP="00AC1371">
            <w:pPr>
              <w:spacing w:line="276" w:lineRule="auto"/>
            </w:pPr>
            <w:r>
              <w:t xml:space="preserve">It is important to note that the proposed MIC level fee model is designed to set fees at a level that can be objectively validated against a publicly available dataset (FIRDS – which contains segment level </w:t>
            </w:r>
            <w:r>
              <w:lastRenderedPageBreak/>
              <w:t>MICs), whilst ensuring that new and/or smaller institutions are not required to fulfil the same fee requirements as trading venues who</w:t>
            </w:r>
            <w:r w:rsidRPr="00C94CDC">
              <w:t>, because of regulatory requirements, must separate their business amongst numerous entities.</w:t>
            </w:r>
          </w:p>
          <w:p w14:paraId="2294F190" w14:textId="77777777" w:rsidR="003D1857" w:rsidRDefault="00FD37C7" w:rsidP="00AC1371">
            <w:pPr>
              <w:spacing w:after="160" w:line="276" w:lineRule="auto"/>
            </w:pPr>
            <w:r>
              <w:t xml:space="preserve">The proposed model aims to ensure that a small credit institution or retail bank is not required to pay the same fees as a large derivatives market maker or similarly, that a small, single market trading venue is not required to </w:t>
            </w:r>
            <w:r w:rsidRPr="00A709EB">
              <w:t>pay the same fees as a multi-</w:t>
            </w:r>
            <w:r>
              <w:t>market</w:t>
            </w:r>
            <w:r w:rsidRPr="00A709EB">
              <w:t xml:space="preserve"> trading venue.</w:t>
            </w:r>
            <w:r>
              <w:t xml:space="preserve"> It is likely that a LEI level model (as proposed by some respondents) will place smaller users of the DSB at a significant cost disadvantage. </w:t>
            </w:r>
          </w:p>
        </w:tc>
        <w:tc>
          <w:tcPr>
            <w:tcW w:w="4392" w:type="dxa"/>
            <w:vAlign w:val="center"/>
          </w:tcPr>
          <w:p w14:paraId="4703E5DF" w14:textId="77777777" w:rsidR="003D1857" w:rsidRDefault="003D1857" w:rsidP="00AC1371">
            <w:pPr>
              <w:spacing w:line="276" w:lineRule="auto"/>
            </w:pPr>
          </w:p>
        </w:tc>
      </w:tr>
      <w:tr w:rsidR="003D1857" w14:paraId="5ED07A64" w14:textId="77777777" w:rsidTr="00AC1371">
        <w:trPr>
          <w:trHeight w:val="5138"/>
        </w:trPr>
        <w:tc>
          <w:tcPr>
            <w:tcW w:w="647" w:type="dxa"/>
            <w:vAlign w:val="center"/>
          </w:tcPr>
          <w:p w14:paraId="575C108C" w14:textId="77777777" w:rsidR="003D1857" w:rsidRDefault="00E62660" w:rsidP="00AC1371">
            <w:pPr>
              <w:spacing w:line="276" w:lineRule="auto"/>
            </w:pPr>
            <w:r>
              <w:t>2</w:t>
            </w:r>
          </w:p>
        </w:tc>
        <w:tc>
          <w:tcPr>
            <w:tcW w:w="4856" w:type="dxa"/>
            <w:vAlign w:val="center"/>
          </w:tcPr>
          <w:p w14:paraId="01F3A1DB" w14:textId="788DCC8C" w:rsidR="00FD37C7" w:rsidRDefault="00FD37C7" w:rsidP="00AC1371">
            <w:pPr>
              <w:spacing w:line="276" w:lineRule="auto"/>
            </w:pPr>
            <w:r>
              <w:t xml:space="preserve">What specific and objectively verifiable models (if any) are you able to propose that reasonably address the needs of complex, multi-faceted organizations) whilst ensuring that new and smaller market participants can continue to access the services they currently utilize without being economically disadvantaged at a higher price point. (refer to2.2.1 </w:t>
            </w:r>
            <w:r>
              <w:fldChar w:fldCharType="begin"/>
            </w:r>
            <w:r>
              <w:instrText xml:space="preserve"> REF _Ref517887412 \r \h  \* MERGEFORMAT </w:instrText>
            </w:r>
            <w:r>
              <w:fldChar w:fldCharType="separate"/>
            </w:r>
            <w:r w:rsidR="00710053">
              <w:t>b)</w:t>
            </w:r>
            <w:r>
              <w:fldChar w:fldCharType="end"/>
            </w:r>
            <w:r>
              <w:t xml:space="preserve"> above)? </w:t>
            </w:r>
          </w:p>
          <w:p w14:paraId="7A94FD9C" w14:textId="77777777" w:rsidR="003D1857" w:rsidRDefault="00FD37C7" w:rsidP="00AC1371">
            <w:pPr>
              <w:spacing w:after="160" w:line="276" w:lineRule="auto"/>
            </w:pPr>
            <w:r>
              <w:t xml:space="preserve">The proposed model aims to ensure that a small credit institution or retail bank is not required to pay the same fees as a large derivatives market maker or similarly, that a small, single market trading venue is not required to </w:t>
            </w:r>
            <w:r w:rsidRPr="00A709EB">
              <w:t>pay the same fees as a multi-</w:t>
            </w:r>
            <w:r>
              <w:t>market</w:t>
            </w:r>
            <w:r w:rsidRPr="00A709EB">
              <w:t xml:space="preserve"> trading venue.</w:t>
            </w:r>
          </w:p>
        </w:tc>
        <w:tc>
          <w:tcPr>
            <w:tcW w:w="4392" w:type="dxa"/>
            <w:vAlign w:val="center"/>
          </w:tcPr>
          <w:p w14:paraId="40D24C93" w14:textId="77777777" w:rsidR="003D1857" w:rsidRDefault="003D1857" w:rsidP="00AC1371">
            <w:pPr>
              <w:spacing w:line="276" w:lineRule="auto"/>
            </w:pPr>
          </w:p>
        </w:tc>
      </w:tr>
      <w:tr w:rsidR="003D1857" w14:paraId="7CCBF0B4" w14:textId="77777777" w:rsidTr="00AC1371">
        <w:trPr>
          <w:trHeight w:val="754"/>
        </w:trPr>
        <w:tc>
          <w:tcPr>
            <w:tcW w:w="9895" w:type="dxa"/>
            <w:gridSpan w:val="3"/>
            <w:vAlign w:val="center"/>
          </w:tcPr>
          <w:p w14:paraId="7EF44A1B" w14:textId="77777777" w:rsidR="003D1857" w:rsidRDefault="003D1857" w:rsidP="00AC1371">
            <w:pPr>
              <w:spacing w:line="276" w:lineRule="auto"/>
            </w:pPr>
            <w:r w:rsidRPr="002D3734">
              <w:rPr>
                <w:b/>
                <w:color w:val="0070C0"/>
                <w:sz w:val="24"/>
              </w:rPr>
              <w:t>Section 2: Functionality</w:t>
            </w:r>
          </w:p>
        </w:tc>
      </w:tr>
      <w:tr w:rsidR="003D1857" w14:paraId="46F845E4" w14:textId="77777777" w:rsidTr="00AC1371">
        <w:trPr>
          <w:trHeight w:val="2198"/>
        </w:trPr>
        <w:tc>
          <w:tcPr>
            <w:tcW w:w="647" w:type="dxa"/>
            <w:vAlign w:val="center"/>
          </w:tcPr>
          <w:p w14:paraId="36DE362F" w14:textId="77777777" w:rsidR="003D1857" w:rsidRDefault="00E62660" w:rsidP="00AC1371">
            <w:pPr>
              <w:spacing w:line="276" w:lineRule="auto"/>
            </w:pPr>
            <w:r>
              <w:t>3</w:t>
            </w:r>
            <w:r w:rsidR="001C481D">
              <w:t>.i</w:t>
            </w:r>
          </w:p>
        </w:tc>
        <w:tc>
          <w:tcPr>
            <w:tcW w:w="4856" w:type="dxa"/>
            <w:vAlign w:val="center"/>
          </w:tcPr>
          <w:p w14:paraId="05D1683E" w14:textId="77777777" w:rsidR="001A69D5" w:rsidRDefault="001A69D5" w:rsidP="00AC1371">
            <w:pPr>
              <w:spacing w:after="240" w:line="276" w:lineRule="auto"/>
            </w:pPr>
            <w:r>
              <w:t>Industry collaboration: Several respondents requested that the DSB engage users in longer range planning sessions to collaboratively design and deploy additional functionality alongside any service changes and/or enhancements, thus resulting in improved user communication and enabling the DSB to become more integrated with industry needs</w:t>
            </w:r>
          </w:p>
          <w:p w14:paraId="4D98CAB8" w14:textId="77777777" w:rsidR="001A69D5" w:rsidRDefault="001A69D5" w:rsidP="00AC1371">
            <w:pPr>
              <w:spacing w:after="120" w:line="276" w:lineRule="auto"/>
            </w:pPr>
            <w:r>
              <w:lastRenderedPageBreak/>
              <w:t>Feedback was also received requesting the following from the DSB:</w:t>
            </w:r>
          </w:p>
          <w:p w14:paraId="79A5D785" w14:textId="77777777" w:rsidR="001A69D5" w:rsidRDefault="001A69D5" w:rsidP="00B279DC">
            <w:pPr>
              <w:pStyle w:val="ListParagraph"/>
              <w:numPr>
                <w:ilvl w:val="0"/>
                <w:numId w:val="19"/>
              </w:numPr>
              <w:spacing w:after="120" w:line="276" w:lineRule="auto"/>
              <w:ind w:left="409"/>
              <w:contextualSpacing w:val="0"/>
            </w:pPr>
            <w:r>
              <w:t xml:space="preserve">the provision of regular touch-points with industry </w:t>
            </w:r>
          </w:p>
          <w:p w14:paraId="6A4A11FC" w14:textId="77777777" w:rsidR="001A69D5" w:rsidRDefault="001A69D5" w:rsidP="00B279DC">
            <w:pPr>
              <w:pStyle w:val="ListParagraph"/>
              <w:numPr>
                <w:ilvl w:val="0"/>
                <w:numId w:val="19"/>
              </w:numPr>
              <w:spacing w:after="120" w:line="276" w:lineRule="auto"/>
              <w:ind w:left="409"/>
              <w:contextualSpacing w:val="0"/>
            </w:pPr>
            <w:r>
              <w:t xml:space="preserve">the need for DSB driven industry working groups to be set up to facilitate work on certain enhancements </w:t>
            </w:r>
          </w:p>
          <w:p w14:paraId="36A0D660" w14:textId="77777777" w:rsidR="001A69D5" w:rsidRDefault="001A69D5" w:rsidP="00B279DC">
            <w:pPr>
              <w:pStyle w:val="ListParagraph"/>
              <w:numPr>
                <w:ilvl w:val="0"/>
                <w:numId w:val="19"/>
              </w:numPr>
              <w:spacing w:after="120" w:line="276" w:lineRule="auto"/>
              <w:ind w:left="409"/>
              <w:contextualSpacing w:val="0"/>
            </w:pPr>
            <w:r>
              <w:t xml:space="preserve">the creation of a forum for the escalation of issues and/or the prioritization of change requests </w:t>
            </w:r>
          </w:p>
          <w:p w14:paraId="534CF4F2" w14:textId="77777777" w:rsidR="001A69D5" w:rsidRDefault="001A69D5" w:rsidP="00B279DC">
            <w:pPr>
              <w:pStyle w:val="ListParagraph"/>
              <w:numPr>
                <w:ilvl w:val="0"/>
                <w:numId w:val="19"/>
              </w:numPr>
              <w:spacing w:after="120" w:line="276" w:lineRule="auto"/>
              <w:ind w:left="409"/>
              <w:contextualSpacing w:val="0"/>
            </w:pPr>
            <w:r>
              <w:t xml:space="preserve">improved access to market knowledge, including specialists with detailed, market segment specific knowledge of the relevant protocols </w:t>
            </w:r>
          </w:p>
          <w:p w14:paraId="4A5DBA1C" w14:textId="77777777" w:rsidR="001A69D5" w:rsidRDefault="001A69D5" w:rsidP="00B279DC">
            <w:pPr>
              <w:pStyle w:val="ListParagraph"/>
              <w:numPr>
                <w:ilvl w:val="0"/>
                <w:numId w:val="19"/>
              </w:numPr>
              <w:spacing w:after="120" w:line="276" w:lineRule="auto"/>
              <w:ind w:left="409"/>
              <w:contextualSpacing w:val="0"/>
            </w:pPr>
            <w:r>
              <w:t xml:space="preserve">introduction of additional templates across the full spectrum of OTC derivative products, especially for more granular indices and complex derivatives </w:t>
            </w:r>
          </w:p>
          <w:p w14:paraId="08B9A7FB" w14:textId="77777777" w:rsidR="001A69D5" w:rsidRDefault="001A69D5" w:rsidP="00B279DC">
            <w:pPr>
              <w:pStyle w:val="ListParagraph"/>
              <w:numPr>
                <w:ilvl w:val="0"/>
                <w:numId w:val="19"/>
              </w:numPr>
              <w:spacing w:after="120" w:line="276" w:lineRule="auto"/>
              <w:ind w:left="409"/>
              <w:contextualSpacing w:val="0"/>
            </w:pPr>
            <w:r>
              <w:t>introduction of ISIN hierarchies that fall outside of the regulatory scope</w:t>
            </w:r>
          </w:p>
          <w:p w14:paraId="556DF98F" w14:textId="77777777" w:rsidR="001A69D5" w:rsidRDefault="001A69D5" w:rsidP="00B279DC">
            <w:pPr>
              <w:pStyle w:val="ListParagraph"/>
              <w:numPr>
                <w:ilvl w:val="0"/>
                <w:numId w:val="19"/>
              </w:numPr>
              <w:spacing w:after="120" w:line="276" w:lineRule="auto"/>
              <w:ind w:left="409"/>
              <w:contextualSpacing w:val="0"/>
            </w:pPr>
            <w:r>
              <w:t xml:space="preserve">automation of existing services such as the proprietary index submission and use process </w:t>
            </w:r>
          </w:p>
          <w:p w14:paraId="770BD7AF" w14:textId="77777777" w:rsidR="001A69D5" w:rsidRDefault="001A69D5" w:rsidP="00B279DC">
            <w:pPr>
              <w:pStyle w:val="ListParagraph"/>
              <w:numPr>
                <w:ilvl w:val="0"/>
                <w:numId w:val="19"/>
              </w:numPr>
              <w:spacing w:after="120" w:line="276" w:lineRule="auto"/>
              <w:ind w:left="409"/>
              <w:contextualSpacing w:val="0"/>
            </w:pPr>
            <w:r>
              <w:t xml:space="preserve">improved alignment with ISDA and the GFMA </w:t>
            </w:r>
          </w:p>
          <w:p w14:paraId="1C5E54A1" w14:textId="77777777" w:rsidR="001A69D5" w:rsidRDefault="001A69D5" w:rsidP="00B279DC">
            <w:pPr>
              <w:pStyle w:val="ListParagraph"/>
              <w:numPr>
                <w:ilvl w:val="0"/>
                <w:numId w:val="19"/>
              </w:numPr>
              <w:spacing w:after="240" w:line="276" w:lineRule="auto"/>
              <w:ind w:left="409"/>
              <w:contextualSpacing w:val="0"/>
            </w:pPr>
            <w:r>
              <w:t xml:space="preserve">development of a three-year strategic plan </w:t>
            </w:r>
          </w:p>
          <w:p w14:paraId="69E1684C" w14:textId="77777777" w:rsidR="001A69D5" w:rsidRDefault="001A69D5" w:rsidP="00AC1371">
            <w:pPr>
              <w:spacing w:after="120" w:line="276" w:lineRule="auto"/>
            </w:pPr>
            <w:r>
              <w:t>The proposed structure and composition of the user forum is provided below</w:t>
            </w:r>
            <w:r w:rsidRPr="008F6949">
              <w:t xml:space="preserve"> </w:t>
            </w:r>
            <w:r>
              <w:t>for industry review and feedback. Based on responses to the first consultation, it is anticipated that:</w:t>
            </w:r>
          </w:p>
          <w:p w14:paraId="076B1437" w14:textId="77777777" w:rsidR="001A69D5" w:rsidRDefault="001A69D5" w:rsidP="00A237BF">
            <w:pPr>
              <w:pStyle w:val="ListParagraph"/>
              <w:numPr>
                <w:ilvl w:val="0"/>
                <w:numId w:val="19"/>
              </w:numPr>
              <w:spacing w:after="120" w:line="276" w:lineRule="auto"/>
              <w:ind w:left="409"/>
              <w:contextualSpacing w:val="0"/>
            </w:pPr>
            <w:r>
              <w:t xml:space="preserve">the user forum would be driven by institutions seeking additional functionality and service levels from the DSB </w:t>
            </w:r>
          </w:p>
          <w:p w14:paraId="31F324F9" w14:textId="77777777" w:rsidR="001A69D5" w:rsidRDefault="001A69D5" w:rsidP="00A237BF">
            <w:pPr>
              <w:pStyle w:val="ListParagraph"/>
              <w:numPr>
                <w:ilvl w:val="0"/>
                <w:numId w:val="19"/>
              </w:numPr>
              <w:spacing w:after="120" w:line="276" w:lineRule="auto"/>
              <w:ind w:left="409"/>
              <w:contextualSpacing w:val="0"/>
            </w:pPr>
            <w:r>
              <w:t>the user forum would comprise a cross-functional skill set, with a lead representative per organization serving as a conduit into the relevant organization’s needs and priorities</w:t>
            </w:r>
          </w:p>
          <w:p w14:paraId="57DE37A0" w14:textId="77777777" w:rsidR="001A69D5" w:rsidRDefault="001A69D5" w:rsidP="00A237BF">
            <w:pPr>
              <w:pStyle w:val="ListParagraph"/>
              <w:numPr>
                <w:ilvl w:val="0"/>
                <w:numId w:val="19"/>
              </w:numPr>
              <w:spacing w:after="120" w:line="276" w:lineRule="auto"/>
              <w:ind w:left="409"/>
              <w:contextualSpacing w:val="0"/>
            </w:pPr>
            <w:r>
              <w:t xml:space="preserve">the user forum would facilitate industry integration as DSB products and services </w:t>
            </w:r>
            <w:r>
              <w:lastRenderedPageBreak/>
              <w:t xml:space="preserve">evolve for those user segments seeking enhancements </w:t>
            </w:r>
          </w:p>
          <w:p w14:paraId="0308E6CC" w14:textId="77777777" w:rsidR="001A69D5" w:rsidRDefault="001A69D5" w:rsidP="00A237BF">
            <w:pPr>
              <w:pStyle w:val="ListParagraph"/>
              <w:numPr>
                <w:ilvl w:val="0"/>
                <w:numId w:val="19"/>
              </w:numPr>
              <w:spacing w:after="120" w:line="276" w:lineRule="auto"/>
              <w:ind w:left="409"/>
              <w:contextualSpacing w:val="0"/>
            </w:pPr>
            <w:r>
              <w:t xml:space="preserve">the user forum would convene monthly (consistent with anecdotal requests received by the DSB), requiring on average a fortnight’s work effort to ensure preparatory and follow-up activities so that expectations were fulfilled in a manner consistent with that required from key market infrastructure providers </w:t>
            </w:r>
          </w:p>
          <w:p w14:paraId="078AC248" w14:textId="77777777" w:rsidR="001A69D5" w:rsidRDefault="001A69D5" w:rsidP="00A237BF">
            <w:pPr>
              <w:pStyle w:val="ListParagraph"/>
              <w:numPr>
                <w:ilvl w:val="0"/>
                <w:numId w:val="19"/>
              </w:numPr>
              <w:spacing w:after="120" w:line="276" w:lineRule="auto"/>
              <w:ind w:left="409"/>
              <w:contextualSpacing w:val="0"/>
            </w:pPr>
            <w:r>
              <w:t xml:space="preserve">the user forum could be resourced based using one of the following approaches, based on industry feedback with respect to desired outcomes: </w:t>
            </w:r>
          </w:p>
          <w:p w14:paraId="714BF10A" w14:textId="77777777" w:rsidR="001A69D5" w:rsidRDefault="001A69D5" w:rsidP="00AC1371">
            <w:pPr>
              <w:pStyle w:val="ListParagraph"/>
              <w:numPr>
                <w:ilvl w:val="0"/>
                <w:numId w:val="67"/>
              </w:numPr>
              <w:spacing w:after="120" w:line="276" w:lineRule="auto"/>
              <w:contextualSpacing w:val="0"/>
            </w:pPr>
            <w:r>
              <w:t xml:space="preserve">administrative support to collate/ disseminate feedback and set up logistics. The expected cost is €135k p.a. which includes a blended resource set, office, infrastructure and related administrative and financing costs   </w:t>
            </w:r>
          </w:p>
          <w:p w14:paraId="096AF5E7" w14:textId="77777777" w:rsidR="001A69D5" w:rsidRDefault="001A69D5" w:rsidP="00AC1371">
            <w:pPr>
              <w:pStyle w:val="ListParagraph"/>
              <w:numPr>
                <w:ilvl w:val="0"/>
                <w:numId w:val="67"/>
              </w:numPr>
              <w:spacing w:after="120" w:line="276" w:lineRule="auto"/>
              <w:contextualSpacing w:val="0"/>
            </w:pPr>
            <w:r>
              <w:t xml:space="preserve">a mix of administrative and some OTC derivative market experience to facilitate logistics and assist with product/service design. The expected cost is €190k p.a. which includes a blended resource set, office, infrastructure and related administrative and financing costs    </w:t>
            </w:r>
          </w:p>
          <w:p w14:paraId="67684B0C" w14:textId="77777777" w:rsidR="003D1857" w:rsidRDefault="001A69D5" w:rsidP="00AC1371">
            <w:pPr>
              <w:pStyle w:val="ListParagraph"/>
              <w:numPr>
                <w:ilvl w:val="0"/>
                <w:numId w:val="67"/>
              </w:numPr>
              <w:spacing w:after="120" w:line="276" w:lineRule="auto"/>
              <w:contextualSpacing w:val="0"/>
            </w:pPr>
            <w:r>
              <w:t xml:space="preserve">a combination of resources with deep OTC derivative delivery and product development skills to expedite discussions and delivery, with proactive industry engagement. The expected cost is €230k p.a. which includes a blended resource set, office, infrastructure and related administrative and financing costs    </w:t>
            </w:r>
          </w:p>
        </w:tc>
        <w:tc>
          <w:tcPr>
            <w:tcW w:w="4392" w:type="dxa"/>
            <w:vAlign w:val="center"/>
          </w:tcPr>
          <w:p w14:paraId="27140B0A" w14:textId="77777777" w:rsidR="003D1857" w:rsidRDefault="003D1857" w:rsidP="00AC1371">
            <w:pPr>
              <w:spacing w:line="276" w:lineRule="auto"/>
            </w:pPr>
          </w:p>
        </w:tc>
      </w:tr>
      <w:tr w:rsidR="00F33BC6" w14:paraId="347C94F9" w14:textId="77777777" w:rsidTr="00AC1371">
        <w:trPr>
          <w:trHeight w:val="864"/>
        </w:trPr>
        <w:tc>
          <w:tcPr>
            <w:tcW w:w="647" w:type="dxa"/>
            <w:vAlign w:val="center"/>
          </w:tcPr>
          <w:p w14:paraId="3D9E0BB4" w14:textId="77777777" w:rsidR="00F33BC6" w:rsidRDefault="00F33BC6" w:rsidP="00AC1371">
            <w:pPr>
              <w:spacing w:line="276" w:lineRule="auto"/>
            </w:pPr>
            <w:r>
              <w:lastRenderedPageBreak/>
              <w:t>3.ii</w:t>
            </w:r>
          </w:p>
        </w:tc>
        <w:tc>
          <w:tcPr>
            <w:tcW w:w="4856" w:type="dxa"/>
            <w:vAlign w:val="center"/>
          </w:tcPr>
          <w:p w14:paraId="7333C3FE" w14:textId="77777777" w:rsidR="00F33BC6" w:rsidRDefault="00F33BC6" w:rsidP="00AC1371">
            <w:pPr>
              <w:spacing w:after="120" w:line="276" w:lineRule="auto"/>
            </w:pPr>
            <w:r>
              <w:t xml:space="preserve">If yes, do you agree with </w:t>
            </w:r>
            <w:r w:rsidRPr="00C93FE7">
              <w:t>the goals of the suggested forum</w:t>
            </w:r>
            <w:r>
              <w:t xml:space="preserve">? Please provide your rationale. </w:t>
            </w:r>
            <w:r w:rsidRPr="00C93FE7">
              <w:t xml:space="preserve"> </w:t>
            </w:r>
          </w:p>
        </w:tc>
        <w:tc>
          <w:tcPr>
            <w:tcW w:w="4392" w:type="dxa"/>
            <w:vAlign w:val="center"/>
          </w:tcPr>
          <w:p w14:paraId="23F2CBAE" w14:textId="77777777" w:rsidR="00F33BC6" w:rsidRDefault="00F33BC6" w:rsidP="00AC1371">
            <w:pPr>
              <w:spacing w:line="276" w:lineRule="auto"/>
            </w:pPr>
          </w:p>
        </w:tc>
      </w:tr>
      <w:tr w:rsidR="00F33BC6" w14:paraId="69F2E2A8" w14:textId="77777777" w:rsidTr="00AC1371">
        <w:trPr>
          <w:trHeight w:val="864"/>
        </w:trPr>
        <w:tc>
          <w:tcPr>
            <w:tcW w:w="647" w:type="dxa"/>
            <w:vAlign w:val="center"/>
          </w:tcPr>
          <w:p w14:paraId="2A6BE83A" w14:textId="77777777" w:rsidR="00F33BC6" w:rsidRDefault="00F33BC6" w:rsidP="00AC1371">
            <w:pPr>
              <w:spacing w:line="276" w:lineRule="auto"/>
            </w:pPr>
            <w:r>
              <w:t>3.iii</w:t>
            </w:r>
          </w:p>
        </w:tc>
        <w:tc>
          <w:tcPr>
            <w:tcW w:w="4856" w:type="dxa"/>
            <w:vAlign w:val="center"/>
          </w:tcPr>
          <w:p w14:paraId="08B8D5C3" w14:textId="77777777" w:rsidR="00F33BC6" w:rsidRDefault="00F33BC6" w:rsidP="00AC1371">
            <w:pPr>
              <w:spacing w:after="120" w:line="276" w:lineRule="auto"/>
            </w:pPr>
            <w:r>
              <w:t xml:space="preserve">If yes, do you </w:t>
            </w:r>
            <w:r w:rsidRPr="00C93FE7">
              <w:t>agree with the proposed composition, structure and format</w:t>
            </w:r>
            <w:r>
              <w:t>? Please provide your rationale.</w:t>
            </w:r>
          </w:p>
        </w:tc>
        <w:tc>
          <w:tcPr>
            <w:tcW w:w="4392" w:type="dxa"/>
            <w:vAlign w:val="center"/>
          </w:tcPr>
          <w:p w14:paraId="35ED4167" w14:textId="77777777" w:rsidR="00F33BC6" w:rsidRDefault="00F33BC6" w:rsidP="00AC1371">
            <w:pPr>
              <w:spacing w:line="276" w:lineRule="auto"/>
            </w:pPr>
          </w:p>
        </w:tc>
      </w:tr>
      <w:tr w:rsidR="00F33BC6" w14:paraId="355E76DF" w14:textId="77777777" w:rsidTr="00AC1371">
        <w:trPr>
          <w:trHeight w:val="864"/>
        </w:trPr>
        <w:tc>
          <w:tcPr>
            <w:tcW w:w="647" w:type="dxa"/>
            <w:vAlign w:val="center"/>
          </w:tcPr>
          <w:p w14:paraId="25EE49DC" w14:textId="77777777" w:rsidR="00F33BC6" w:rsidRDefault="00F33BC6" w:rsidP="00AC1371">
            <w:pPr>
              <w:spacing w:line="276" w:lineRule="auto"/>
            </w:pPr>
            <w:r>
              <w:lastRenderedPageBreak/>
              <w:t>3.iv</w:t>
            </w:r>
          </w:p>
        </w:tc>
        <w:tc>
          <w:tcPr>
            <w:tcW w:w="4856" w:type="dxa"/>
            <w:vAlign w:val="center"/>
          </w:tcPr>
          <w:p w14:paraId="419435F1" w14:textId="77777777" w:rsidR="00F33BC6" w:rsidRDefault="00F33BC6" w:rsidP="00AC1371">
            <w:pPr>
              <w:spacing w:after="120" w:line="276" w:lineRule="auto"/>
            </w:pPr>
            <w:r>
              <w:t>If yes, which of the three skill sets (proposed above) do you believe is required to support the user forum’s goals?  Please provide your rationale.</w:t>
            </w:r>
          </w:p>
        </w:tc>
        <w:tc>
          <w:tcPr>
            <w:tcW w:w="4392" w:type="dxa"/>
            <w:vAlign w:val="center"/>
          </w:tcPr>
          <w:p w14:paraId="6DE64127" w14:textId="77777777" w:rsidR="00F33BC6" w:rsidRDefault="00F33BC6" w:rsidP="00AC1371">
            <w:pPr>
              <w:spacing w:line="276" w:lineRule="auto"/>
            </w:pPr>
          </w:p>
        </w:tc>
      </w:tr>
      <w:tr w:rsidR="003D1857" w14:paraId="7EE87DD6" w14:textId="77777777" w:rsidTr="00A237BF">
        <w:trPr>
          <w:trHeight w:val="864"/>
        </w:trPr>
        <w:tc>
          <w:tcPr>
            <w:tcW w:w="647" w:type="dxa"/>
            <w:vAlign w:val="center"/>
          </w:tcPr>
          <w:p w14:paraId="04030CAD" w14:textId="77777777" w:rsidR="003D1857" w:rsidRDefault="00E62660" w:rsidP="00A237BF">
            <w:pPr>
              <w:spacing w:line="276" w:lineRule="auto"/>
            </w:pPr>
            <w:r>
              <w:t>3</w:t>
            </w:r>
            <w:r w:rsidR="001C481D">
              <w:t>.</w:t>
            </w:r>
            <w:r w:rsidR="00F33BC6">
              <w:t>v</w:t>
            </w:r>
          </w:p>
        </w:tc>
        <w:tc>
          <w:tcPr>
            <w:tcW w:w="4856" w:type="dxa"/>
            <w:vAlign w:val="center"/>
          </w:tcPr>
          <w:p w14:paraId="0409FD27" w14:textId="77777777" w:rsidR="003D1857" w:rsidRDefault="001C481D" w:rsidP="00A237BF">
            <w:pPr>
              <w:spacing w:after="120" w:line="276" w:lineRule="auto"/>
            </w:pPr>
            <w:r>
              <w:t xml:space="preserve">If yes, please supply any </w:t>
            </w:r>
            <w:r w:rsidR="00F33BC6">
              <w:t xml:space="preserve">other </w:t>
            </w:r>
            <w:r>
              <w:t xml:space="preserve">views you may have about any specific model you wish to see </w:t>
            </w:r>
            <w:r w:rsidRPr="009A1907">
              <w:t xml:space="preserve">implemented. </w:t>
            </w:r>
          </w:p>
        </w:tc>
        <w:tc>
          <w:tcPr>
            <w:tcW w:w="4392" w:type="dxa"/>
            <w:vAlign w:val="center"/>
          </w:tcPr>
          <w:p w14:paraId="0E416C68" w14:textId="77777777" w:rsidR="003D1857" w:rsidRDefault="003D1857" w:rsidP="00AC1371">
            <w:pPr>
              <w:spacing w:line="276" w:lineRule="auto"/>
            </w:pPr>
          </w:p>
        </w:tc>
      </w:tr>
      <w:tr w:rsidR="003D1857" w14:paraId="2119C7F1" w14:textId="77777777" w:rsidTr="00AC1371">
        <w:trPr>
          <w:trHeight w:val="864"/>
        </w:trPr>
        <w:tc>
          <w:tcPr>
            <w:tcW w:w="647" w:type="dxa"/>
            <w:vAlign w:val="center"/>
          </w:tcPr>
          <w:p w14:paraId="38307374" w14:textId="77777777" w:rsidR="003D1857" w:rsidRDefault="00E62660" w:rsidP="00AC1371">
            <w:pPr>
              <w:spacing w:line="276" w:lineRule="auto"/>
            </w:pPr>
            <w:r>
              <w:t>3</w:t>
            </w:r>
            <w:r w:rsidR="001C481D">
              <w:t>.</w:t>
            </w:r>
            <w:r w:rsidR="00F33BC6">
              <w:t>v</w:t>
            </w:r>
            <w:r w:rsidR="001C481D">
              <w:t>i</w:t>
            </w:r>
          </w:p>
        </w:tc>
        <w:tc>
          <w:tcPr>
            <w:tcW w:w="4856" w:type="dxa"/>
            <w:vAlign w:val="center"/>
          </w:tcPr>
          <w:p w14:paraId="35C9F498" w14:textId="77777777" w:rsidR="003D1857" w:rsidRDefault="001C481D" w:rsidP="00AC1371">
            <w:pPr>
              <w:spacing w:after="120" w:line="276" w:lineRule="auto"/>
            </w:pPr>
            <w:r w:rsidRPr="009A1907">
              <w:t>If not, what model do you propose instead (if any)</w:t>
            </w:r>
            <w:r>
              <w:t>?</w:t>
            </w:r>
          </w:p>
        </w:tc>
        <w:tc>
          <w:tcPr>
            <w:tcW w:w="4392" w:type="dxa"/>
            <w:vAlign w:val="center"/>
          </w:tcPr>
          <w:p w14:paraId="1FB941B0" w14:textId="77777777" w:rsidR="003D1857" w:rsidRDefault="003D1857" w:rsidP="00AC1371">
            <w:pPr>
              <w:spacing w:line="276" w:lineRule="auto"/>
            </w:pPr>
          </w:p>
        </w:tc>
      </w:tr>
      <w:tr w:rsidR="003D1857" w14:paraId="4F014362" w14:textId="77777777" w:rsidTr="00AC1371">
        <w:trPr>
          <w:trHeight w:val="5030"/>
        </w:trPr>
        <w:tc>
          <w:tcPr>
            <w:tcW w:w="647" w:type="dxa"/>
            <w:vAlign w:val="center"/>
          </w:tcPr>
          <w:p w14:paraId="75183B92" w14:textId="77777777" w:rsidR="003D1857" w:rsidRDefault="00E62660" w:rsidP="00AC1371">
            <w:pPr>
              <w:spacing w:line="276" w:lineRule="auto"/>
            </w:pPr>
            <w:r>
              <w:t>4</w:t>
            </w:r>
            <w:r w:rsidR="00221C7E">
              <w:t>.i</w:t>
            </w:r>
          </w:p>
        </w:tc>
        <w:tc>
          <w:tcPr>
            <w:tcW w:w="4856" w:type="dxa"/>
            <w:vAlign w:val="center"/>
          </w:tcPr>
          <w:p w14:paraId="3DB233C5" w14:textId="77777777" w:rsidR="00CC5BD9" w:rsidRDefault="00CC5BD9" w:rsidP="00AC1371">
            <w:pPr>
              <w:spacing w:after="80" w:line="276" w:lineRule="auto"/>
            </w:pPr>
            <w:r>
              <w:t xml:space="preserve">Responsive enumeration management: The DSB can enable support for </w:t>
            </w:r>
            <w:r w:rsidRPr="009A1907">
              <w:t xml:space="preserve">faster changes to product definition templates </w:t>
            </w:r>
            <w:r>
              <w:t xml:space="preserve">by enabling changes to enumeration lists during availability hours and without the need for industry to engage in a full cycle of redevelopment and testing efforts. </w:t>
            </w:r>
          </w:p>
          <w:p w14:paraId="7878DD69" w14:textId="77777777" w:rsidR="00CC5BD9" w:rsidRPr="004816C0" w:rsidRDefault="00CC5BD9" w:rsidP="00AC1371">
            <w:pPr>
              <w:spacing w:after="120" w:line="276" w:lineRule="auto"/>
            </w:pPr>
            <w:r>
              <w:t xml:space="preserve">The cumulative benefit for the DSB’s programmatic users is non-trivial with five recent market changes requiring updates to </w:t>
            </w:r>
            <w:r w:rsidRPr="004816C0">
              <w:t xml:space="preserve">approximately 1,200 templates in a three-month period. With each programmatic user spending on average two days developing and regression testing each </w:t>
            </w:r>
            <w:r>
              <w:t>enumeration change</w:t>
            </w:r>
            <w:r w:rsidRPr="004816C0">
              <w:t xml:space="preserve"> and a total of 78 Power Users</w:t>
            </w:r>
            <w:r>
              <w:t xml:space="preserve"> having to make changes</w:t>
            </w:r>
            <w:r w:rsidRPr="004816C0">
              <w:t>, th</w:t>
            </w:r>
            <w:r>
              <w:t>is</w:t>
            </w:r>
            <w:r w:rsidRPr="004816C0">
              <w:t xml:space="preserve"> translates to approximately 156 days of “lost” time per change, i.e. 780 “lost” days per quarter across all DSB programmatic users. Given that the current pace of industry change looks set to continue considering both benchmark related evolutions and ad-hoc currency re-denominations</w:t>
            </w:r>
            <w:r>
              <w:t xml:space="preserve"> (based on feedback received from users and regulators)</w:t>
            </w:r>
            <w:r w:rsidRPr="004816C0">
              <w:t xml:space="preserve">, proceeding with the </w:t>
            </w:r>
            <w:r>
              <w:t xml:space="preserve">proposed change </w:t>
            </w:r>
            <w:r w:rsidRPr="004816C0">
              <w:t xml:space="preserve">would result in industry </w:t>
            </w:r>
            <w:r>
              <w:t xml:space="preserve">saving </w:t>
            </w:r>
            <w:r w:rsidRPr="004816C0">
              <w:t xml:space="preserve">approximately 3,120 </w:t>
            </w:r>
            <w:r>
              <w:t xml:space="preserve">days of </w:t>
            </w:r>
            <w:r w:rsidRPr="004816C0">
              <w:t>work</w:t>
            </w:r>
            <w:r>
              <w:t xml:space="preserve"> effort </w:t>
            </w:r>
            <w:r w:rsidRPr="004816C0">
              <w:t xml:space="preserve">each year. </w:t>
            </w:r>
          </w:p>
          <w:p w14:paraId="4FD304F9" w14:textId="77777777" w:rsidR="00CC5BD9" w:rsidRDefault="00CC5BD9" w:rsidP="00AC1371">
            <w:pPr>
              <w:spacing w:after="120" w:line="276" w:lineRule="auto"/>
            </w:pPr>
            <w:r>
              <w:t>The DSB anticipates that the DSB Product Committee (PC) and TAC respectively will be involved in the design of the required product template and technology implementations, to ensure an optimal implementation approach that meets industry needs.</w:t>
            </w:r>
          </w:p>
          <w:p w14:paraId="6D7299CC" w14:textId="77777777" w:rsidR="00CC5BD9" w:rsidRDefault="00CC5BD9" w:rsidP="00AC1371">
            <w:pPr>
              <w:spacing w:after="120" w:line="276" w:lineRule="auto"/>
            </w:pPr>
            <w:r>
              <w:t xml:space="preserve">The proposed solution requires the DSB to implement product template changes whilst the system is live and operational and without incurring </w:t>
            </w:r>
            <w:r>
              <w:lastRenderedPageBreak/>
              <w:t xml:space="preserve">any downtime. This requires significant architectural changes to the ISIN engine as well as changes to deployment and monitoring systems and processes. </w:t>
            </w:r>
          </w:p>
          <w:p w14:paraId="6083230A" w14:textId="77777777" w:rsidR="00CC5BD9" w:rsidRDefault="00CC5BD9" w:rsidP="00AC1371">
            <w:pPr>
              <w:spacing w:after="120" w:line="276" w:lineRule="auto"/>
            </w:pPr>
            <w:r>
              <w:t xml:space="preserve">The DSB estimates this will require re-working of the template structure across appx 180 templates to allow for dynamic enumerations. Let’s discuss what you’re expecting to see in terms of additional detail. The cost is driven by design, documentation, development, QA and deployment effort </w:t>
            </w:r>
          </w:p>
          <w:p w14:paraId="21E42142" w14:textId="77777777" w:rsidR="00CC5BD9" w:rsidRDefault="00CC5BD9" w:rsidP="00AC1371">
            <w:pPr>
              <w:spacing w:after="120" w:line="276" w:lineRule="auto"/>
            </w:pPr>
            <w:r>
              <w:t xml:space="preserve">The DSB estimates build </w:t>
            </w:r>
            <w:r w:rsidRPr="009A1907">
              <w:t>cost</w:t>
            </w:r>
            <w:r>
              <w:t>s</w:t>
            </w:r>
            <w:r w:rsidRPr="009A1907">
              <w:t xml:space="preserve"> </w:t>
            </w:r>
            <w:r>
              <w:t xml:space="preserve">within the communal cost recovery ring-fence </w:t>
            </w:r>
            <w:r w:rsidRPr="009A1907">
              <w:t xml:space="preserve">of </w:t>
            </w:r>
            <w:r>
              <w:t xml:space="preserve">€500K - </w:t>
            </w:r>
            <w:r w:rsidRPr="009A1907">
              <w:t>€750K</w:t>
            </w:r>
            <w:r>
              <w:t xml:space="preserve"> depending on the implementation approach adopted</w:t>
            </w:r>
            <w:r w:rsidRPr="009A1907">
              <w:t xml:space="preserve">, </w:t>
            </w:r>
            <w:r>
              <w:t>but does not anticipate any change to on-going run</w:t>
            </w:r>
            <w:r w:rsidRPr="009A1907">
              <w:t xml:space="preserve"> costs</w:t>
            </w:r>
            <w:r>
              <w:t>. The financial impact is an increase in annualised fees of €125K - €187.5K for 4 years, whilst the build cost is amortized over a 4-year period, as per the existing accounting provision for the amortization of build costs.</w:t>
            </w:r>
          </w:p>
          <w:p w14:paraId="47DCA6A9" w14:textId="77777777" w:rsidR="003D1857" w:rsidRDefault="00CC5BD9" w:rsidP="00AC1371">
            <w:pPr>
              <w:spacing w:after="120" w:line="276" w:lineRule="auto"/>
            </w:pPr>
            <w:r>
              <w:t>Do you concur with the implementation of this functionality in 2019, in particular given the significant amount of effort (and cumulative cost) saved by the industry?</w:t>
            </w:r>
          </w:p>
        </w:tc>
        <w:tc>
          <w:tcPr>
            <w:tcW w:w="4392" w:type="dxa"/>
            <w:vAlign w:val="center"/>
          </w:tcPr>
          <w:p w14:paraId="76F27862" w14:textId="77777777" w:rsidR="003D1857" w:rsidRDefault="003D1857" w:rsidP="00AC1371">
            <w:pPr>
              <w:spacing w:line="276" w:lineRule="auto"/>
            </w:pPr>
          </w:p>
        </w:tc>
      </w:tr>
      <w:tr w:rsidR="003D1857" w14:paraId="4DF7ECEC" w14:textId="77777777" w:rsidTr="00AC1371">
        <w:trPr>
          <w:trHeight w:val="2060"/>
        </w:trPr>
        <w:tc>
          <w:tcPr>
            <w:tcW w:w="647" w:type="dxa"/>
            <w:vAlign w:val="center"/>
          </w:tcPr>
          <w:p w14:paraId="7E82E322" w14:textId="77777777" w:rsidR="003D1857" w:rsidRDefault="00E62660" w:rsidP="00AC1371">
            <w:pPr>
              <w:spacing w:line="276" w:lineRule="auto"/>
            </w:pPr>
            <w:r>
              <w:t>4</w:t>
            </w:r>
            <w:r w:rsidR="00221C7E">
              <w:t>.ii</w:t>
            </w:r>
          </w:p>
        </w:tc>
        <w:tc>
          <w:tcPr>
            <w:tcW w:w="4856" w:type="dxa"/>
            <w:vAlign w:val="center"/>
          </w:tcPr>
          <w:p w14:paraId="7E509C10" w14:textId="77777777" w:rsidR="003D1857" w:rsidRPr="009A1907" w:rsidRDefault="00CC5BD9" w:rsidP="00AC1371">
            <w:pPr>
              <w:spacing w:after="120" w:line="276" w:lineRule="auto"/>
            </w:pPr>
            <w:r>
              <w:t>If the DSB implements this functionality, do you agree that the PC and TAC should be involved in the design of the product and technology solutions respectively? If not, please propose your alternative industry engagement model.</w:t>
            </w:r>
          </w:p>
        </w:tc>
        <w:tc>
          <w:tcPr>
            <w:tcW w:w="4392" w:type="dxa"/>
            <w:vAlign w:val="center"/>
          </w:tcPr>
          <w:p w14:paraId="758016CF" w14:textId="77777777" w:rsidR="003D1857" w:rsidRDefault="003D1857" w:rsidP="00AC1371">
            <w:pPr>
              <w:spacing w:line="276" w:lineRule="auto"/>
            </w:pPr>
          </w:p>
        </w:tc>
      </w:tr>
      <w:tr w:rsidR="003D1857" w14:paraId="343D14EC" w14:textId="77777777" w:rsidTr="00AC1371">
        <w:trPr>
          <w:trHeight w:val="864"/>
        </w:trPr>
        <w:tc>
          <w:tcPr>
            <w:tcW w:w="647" w:type="dxa"/>
            <w:vAlign w:val="center"/>
          </w:tcPr>
          <w:p w14:paraId="3B48FEF7" w14:textId="77777777" w:rsidR="003D1857" w:rsidRDefault="00E62660" w:rsidP="00AC1371">
            <w:pPr>
              <w:spacing w:line="276" w:lineRule="auto"/>
            </w:pPr>
            <w:r>
              <w:t>5</w:t>
            </w:r>
            <w:r w:rsidR="00221C7E">
              <w:t>.i</w:t>
            </w:r>
          </w:p>
        </w:tc>
        <w:tc>
          <w:tcPr>
            <w:tcW w:w="4856" w:type="dxa"/>
            <w:vAlign w:val="center"/>
          </w:tcPr>
          <w:p w14:paraId="7A6A0C6A" w14:textId="77777777" w:rsidR="007A76BE" w:rsidRDefault="007A76BE" w:rsidP="00AC1371">
            <w:pPr>
              <w:spacing w:after="80" w:line="276" w:lineRule="auto"/>
            </w:pPr>
            <w:r>
              <w:t>The DSB received feedback to provide ISIN analytics in machine-downloadable format. Based on this feedback, the DSB proposes to provide the following analytics on a monthly basis:</w:t>
            </w:r>
          </w:p>
          <w:p w14:paraId="516B31AC" w14:textId="77777777" w:rsidR="007A76BE" w:rsidRDefault="007A76BE" w:rsidP="00AC1371">
            <w:pPr>
              <w:pStyle w:val="ListParagraph"/>
              <w:numPr>
                <w:ilvl w:val="0"/>
                <w:numId w:val="40"/>
              </w:numPr>
              <w:spacing w:after="120" w:line="276" w:lineRule="auto"/>
              <w:contextualSpacing w:val="0"/>
            </w:pPr>
            <w:r>
              <w:t xml:space="preserve"># of ISIN creates per product template </w:t>
            </w:r>
          </w:p>
          <w:p w14:paraId="185D745F" w14:textId="77777777" w:rsidR="007A76BE" w:rsidRDefault="007A76BE" w:rsidP="00AC1371">
            <w:pPr>
              <w:pStyle w:val="ListParagraph"/>
              <w:numPr>
                <w:ilvl w:val="0"/>
                <w:numId w:val="40"/>
              </w:numPr>
              <w:spacing w:after="120" w:line="276" w:lineRule="auto"/>
              <w:contextualSpacing w:val="0"/>
            </w:pPr>
            <w:r>
              <w:t># of ISIN retrievals per product template (where ISIN is supplied)</w:t>
            </w:r>
          </w:p>
          <w:p w14:paraId="54460EAB" w14:textId="77777777" w:rsidR="007A76BE" w:rsidRDefault="007A76BE" w:rsidP="00AC1371">
            <w:pPr>
              <w:pStyle w:val="ListParagraph"/>
              <w:numPr>
                <w:ilvl w:val="0"/>
                <w:numId w:val="40"/>
              </w:numPr>
              <w:spacing w:after="120" w:line="276" w:lineRule="auto"/>
              <w:contextualSpacing w:val="0"/>
            </w:pPr>
            <w:r>
              <w:t># of ISIN searches across all product templates (search by metadata)</w:t>
            </w:r>
          </w:p>
          <w:p w14:paraId="1EAD8BC4" w14:textId="77777777" w:rsidR="007A76BE" w:rsidRDefault="007A76BE" w:rsidP="00AC1371">
            <w:pPr>
              <w:pStyle w:val="ListParagraph"/>
              <w:numPr>
                <w:ilvl w:val="0"/>
                <w:numId w:val="40"/>
              </w:numPr>
              <w:spacing w:after="120" w:line="276" w:lineRule="auto"/>
              <w:contextualSpacing w:val="0"/>
            </w:pPr>
            <w:r>
              <w:t xml:space="preserve"># of ISIN creates per user fee category </w:t>
            </w:r>
          </w:p>
          <w:p w14:paraId="02D7A949" w14:textId="77777777" w:rsidR="007A76BE" w:rsidRDefault="007A76BE" w:rsidP="00AC1371">
            <w:pPr>
              <w:pStyle w:val="ListParagraph"/>
              <w:numPr>
                <w:ilvl w:val="0"/>
                <w:numId w:val="40"/>
              </w:numPr>
              <w:spacing w:after="120" w:line="276" w:lineRule="auto"/>
              <w:contextualSpacing w:val="0"/>
            </w:pPr>
            <w:r>
              <w:lastRenderedPageBreak/>
              <w:t># of ISIN retrievals per user fee category (where ISIN is supplied)</w:t>
            </w:r>
          </w:p>
          <w:p w14:paraId="26860926" w14:textId="77777777" w:rsidR="007A76BE" w:rsidRDefault="007A76BE" w:rsidP="00AC1371">
            <w:pPr>
              <w:pStyle w:val="ListParagraph"/>
              <w:numPr>
                <w:ilvl w:val="0"/>
                <w:numId w:val="40"/>
              </w:numPr>
              <w:spacing w:after="120" w:line="276" w:lineRule="auto"/>
              <w:contextualSpacing w:val="0"/>
            </w:pPr>
            <w:r>
              <w:t># of ISIN searches per user fee category (search by metadata)</w:t>
            </w:r>
          </w:p>
          <w:p w14:paraId="7F19B00C" w14:textId="77777777" w:rsidR="007A76BE" w:rsidRDefault="007A76BE" w:rsidP="00AC1371">
            <w:pPr>
              <w:pStyle w:val="ListParagraph"/>
              <w:numPr>
                <w:ilvl w:val="0"/>
                <w:numId w:val="40"/>
              </w:numPr>
              <w:spacing w:after="120" w:line="276" w:lineRule="auto"/>
              <w:contextualSpacing w:val="0"/>
            </w:pPr>
            <w:r>
              <w:t xml:space="preserve"># of ISINs submitted to FIRDS per product template </w:t>
            </w:r>
          </w:p>
          <w:p w14:paraId="1783CAE0" w14:textId="77777777" w:rsidR="007A76BE" w:rsidRDefault="007A76BE" w:rsidP="00AC1371">
            <w:pPr>
              <w:spacing w:after="120" w:line="276" w:lineRule="auto"/>
            </w:pPr>
            <w:r>
              <w:t>DSB expectation is that such analytics can be provided at no incremental build or run cost, as long as the information is placed on the DSB web-site once a month, for user download in a csv file format.</w:t>
            </w:r>
          </w:p>
          <w:p w14:paraId="360AB96F" w14:textId="77777777" w:rsidR="003D1857" w:rsidRDefault="007A76BE" w:rsidP="00AC1371">
            <w:pPr>
              <w:spacing w:after="120" w:line="276" w:lineRule="auto"/>
            </w:pPr>
            <w:r>
              <w:t xml:space="preserve">Is the proposed list of analytics appropriate? Please provide an explanation of your reasoning for any changes you would like to see. </w:t>
            </w:r>
          </w:p>
        </w:tc>
        <w:tc>
          <w:tcPr>
            <w:tcW w:w="4392" w:type="dxa"/>
            <w:vAlign w:val="center"/>
          </w:tcPr>
          <w:p w14:paraId="5478AACB" w14:textId="77777777" w:rsidR="003D1857" w:rsidRDefault="003D1857" w:rsidP="00AC1371">
            <w:pPr>
              <w:spacing w:line="276" w:lineRule="auto"/>
            </w:pPr>
          </w:p>
        </w:tc>
      </w:tr>
      <w:tr w:rsidR="00E62660" w14:paraId="3DCA99D7" w14:textId="77777777" w:rsidTr="00AC1371">
        <w:trPr>
          <w:trHeight w:val="2033"/>
        </w:trPr>
        <w:tc>
          <w:tcPr>
            <w:tcW w:w="647" w:type="dxa"/>
            <w:vAlign w:val="center"/>
          </w:tcPr>
          <w:p w14:paraId="26588025" w14:textId="77777777" w:rsidR="00E62660" w:rsidRDefault="00E62660" w:rsidP="00AC1371">
            <w:pPr>
              <w:spacing w:line="276" w:lineRule="auto"/>
            </w:pPr>
            <w:r>
              <w:t>5</w:t>
            </w:r>
            <w:r w:rsidR="00221C7E">
              <w:t>.ii</w:t>
            </w:r>
          </w:p>
        </w:tc>
        <w:tc>
          <w:tcPr>
            <w:tcW w:w="4856" w:type="dxa"/>
            <w:vAlign w:val="center"/>
          </w:tcPr>
          <w:p w14:paraId="2C38E030" w14:textId="77777777" w:rsidR="00E62660" w:rsidRDefault="007A76BE" w:rsidP="00AC1371">
            <w:pPr>
              <w:spacing w:after="120" w:line="276" w:lineRule="auto"/>
            </w:pPr>
            <w:r>
              <w:t xml:space="preserve">Is the proposed monthly frequency of update appropriate? If not, please provide your reasoning, bearing in mind that more frequent updates may result in an incremental uplift in resource requirements </w:t>
            </w:r>
          </w:p>
        </w:tc>
        <w:tc>
          <w:tcPr>
            <w:tcW w:w="4392" w:type="dxa"/>
            <w:vAlign w:val="center"/>
          </w:tcPr>
          <w:p w14:paraId="1CFD55A0" w14:textId="77777777" w:rsidR="00E62660" w:rsidRDefault="00E62660" w:rsidP="00AC1371">
            <w:pPr>
              <w:spacing w:line="276" w:lineRule="auto"/>
            </w:pPr>
          </w:p>
        </w:tc>
      </w:tr>
      <w:tr w:rsidR="00E62660" w14:paraId="0490E1C7" w14:textId="77777777" w:rsidTr="00AC1371">
        <w:trPr>
          <w:trHeight w:val="1322"/>
        </w:trPr>
        <w:tc>
          <w:tcPr>
            <w:tcW w:w="647" w:type="dxa"/>
            <w:vAlign w:val="center"/>
          </w:tcPr>
          <w:p w14:paraId="207CA838" w14:textId="77777777" w:rsidR="00E62660" w:rsidRDefault="00E62660" w:rsidP="00AC1371">
            <w:pPr>
              <w:spacing w:line="276" w:lineRule="auto"/>
            </w:pPr>
            <w:r>
              <w:t>5</w:t>
            </w:r>
            <w:r w:rsidR="00221C7E">
              <w:t>.iii</w:t>
            </w:r>
          </w:p>
        </w:tc>
        <w:tc>
          <w:tcPr>
            <w:tcW w:w="4856" w:type="dxa"/>
            <w:vAlign w:val="center"/>
          </w:tcPr>
          <w:p w14:paraId="694E4163" w14:textId="77777777" w:rsidR="00E62660" w:rsidRDefault="0036048C" w:rsidP="00AC1371">
            <w:pPr>
              <w:spacing w:after="120" w:line="276" w:lineRule="auto"/>
            </w:pPr>
            <w:r>
              <w:t>Is the proposed delivery model of csv file download from the DSB website appropriate? If not, please provide an alternative alongside your reasoning.</w:t>
            </w:r>
          </w:p>
        </w:tc>
        <w:tc>
          <w:tcPr>
            <w:tcW w:w="4392" w:type="dxa"/>
            <w:vAlign w:val="center"/>
          </w:tcPr>
          <w:p w14:paraId="7A2F5305" w14:textId="77777777" w:rsidR="00E62660" w:rsidRDefault="00E62660" w:rsidP="00AC1371">
            <w:pPr>
              <w:spacing w:line="276" w:lineRule="auto"/>
            </w:pPr>
          </w:p>
        </w:tc>
      </w:tr>
      <w:tr w:rsidR="003D1857" w14:paraId="34A58C53" w14:textId="77777777" w:rsidTr="00AC1371">
        <w:trPr>
          <w:trHeight w:val="754"/>
        </w:trPr>
        <w:tc>
          <w:tcPr>
            <w:tcW w:w="9895" w:type="dxa"/>
            <w:gridSpan w:val="3"/>
            <w:vAlign w:val="center"/>
          </w:tcPr>
          <w:p w14:paraId="4532459E" w14:textId="77777777" w:rsidR="003D1857" w:rsidRDefault="003D1857" w:rsidP="00AC1371">
            <w:pPr>
              <w:spacing w:line="276" w:lineRule="auto"/>
            </w:pPr>
            <w:r w:rsidRPr="00BA03D0">
              <w:rPr>
                <w:b/>
                <w:color w:val="0070C0"/>
                <w:sz w:val="24"/>
              </w:rPr>
              <w:t>S</w:t>
            </w:r>
            <w:r w:rsidR="00221C7E">
              <w:rPr>
                <w:b/>
                <w:color w:val="0070C0"/>
                <w:sz w:val="24"/>
              </w:rPr>
              <w:t>ection</w:t>
            </w:r>
            <w:r w:rsidRPr="00BA03D0">
              <w:rPr>
                <w:b/>
                <w:color w:val="0070C0"/>
                <w:sz w:val="24"/>
              </w:rPr>
              <w:t xml:space="preserve"> 3: S</w:t>
            </w:r>
            <w:r w:rsidR="00221C7E">
              <w:rPr>
                <w:b/>
                <w:color w:val="0070C0"/>
                <w:sz w:val="24"/>
              </w:rPr>
              <w:t>ervice Levels</w:t>
            </w:r>
          </w:p>
        </w:tc>
      </w:tr>
      <w:tr w:rsidR="00E62660" w14:paraId="7C005FD3" w14:textId="77777777" w:rsidTr="00AC1371">
        <w:trPr>
          <w:trHeight w:val="2384"/>
        </w:trPr>
        <w:tc>
          <w:tcPr>
            <w:tcW w:w="647" w:type="dxa"/>
            <w:vAlign w:val="center"/>
          </w:tcPr>
          <w:p w14:paraId="4E052265" w14:textId="77777777" w:rsidR="00E62660" w:rsidRDefault="00E62660" w:rsidP="00AC1371">
            <w:pPr>
              <w:spacing w:line="276" w:lineRule="auto"/>
            </w:pPr>
            <w:r>
              <w:t>6</w:t>
            </w:r>
          </w:p>
        </w:tc>
        <w:tc>
          <w:tcPr>
            <w:tcW w:w="4856" w:type="dxa"/>
            <w:vAlign w:val="center"/>
          </w:tcPr>
          <w:p w14:paraId="36055927" w14:textId="77777777" w:rsidR="00E62660" w:rsidRDefault="007E7CF5" w:rsidP="00AC1371">
            <w:pPr>
              <w:spacing w:after="120" w:line="276" w:lineRule="auto"/>
            </w:pPr>
            <w:r>
              <w:t xml:space="preserve">Several requests were made to enable broader industry representation in the PC to enable improved integration with industry. As a reminder, the PC is currently comprised of an equal number of representatives from the buy-side, sell-side and trading venues  </w:t>
            </w:r>
          </w:p>
        </w:tc>
        <w:tc>
          <w:tcPr>
            <w:tcW w:w="4392" w:type="dxa"/>
            <w:vAlign w:val="center"/>
          </w:tcPr>
          <w:p w14:paraId="063A0C8E" w14:textId="77777777" w:rsidR="00E62660" w:rsidRDefault="00E62660" w:rsidP="00AC1371">
            <w:pPr>
              <w:spacing w:line="276" w:lineRule="auto"/>
            </w:pPr>
          </w:p>
        </w:tc>
      </w:tr>
      <w:tr w:rsidR="00E62660" w14:paraId="40853313" w14:textId="77777777" w:rsidTr="00AC1371">
        <w:trPr>
          <w:trHeight w:val="3770"/>
        </w:trPr>
        <w:tc>
          <w:tcPr>
            <w:tcW w:w="647" w:type="dxa"/>
            <w:vAlign w:val="center"/>
          </w:tcPr>
          <w:p w14:paraId="3569235B" w14:textId="77777777" w:rsidR="00E62660" w:rsidRDefault="00E62660" w:rsidP="00AC1371">
            <w:pPr>
              <w:spacing w:line="276" w:lineRule="auto"/>
            </w:pPr>
            <w:r>
              <w:lastRenderedPageBreak/>
              <w:t>7</w:t>
            </w:r>
          </w:p>
        </w:tc>
        <w:tc>
          <w:tcPr>
            <w:tcW w:w="4856" w:type="dxa"/>
            <w:vAlign w:val="center"/>
          </w:tcPr>
          <w:p w14:paraId="1D7E1DB9" w14:textId="77777777" w:rsidR="007E7CF5" w:rsidRDefault="007E7CF5" w:rsidP="00AC1371">
            <w:pPr>
              <w:spacing w:after="120" w:line="276" w:lineRule="auto"/>
            </w:pPr>
            <w:r>
              <w:t xml:space="preserve">A recommendation was also made that the DSB not become a member of trade associations but instead reach out to the various bodies asking if the DSB can monitor the output of deliberations of various derivatives working groups on an ongoing basis </w:t>
            </w:r>
          </w:p>
          <w:p w14:paraId="0A46F683" w14:textId="77777777" w:rsidR="00E62660" w:rsidRDefault="007E7CF5" w:rsidP="00AC1371">
            <w:pPr>
              <w:spacing w:after="80" w:line="276" w:lineRule="auto"/>
            </w:pPr>
            <w:r>
              <w:t xml:space="preserve">Which specific industry working groups should the DSB reach out to in order to ensure it is able to monitor the output of various discussion fora and thus feed into the product roadmap and Product Committee deliberations on a proactive basis? </w:t>
            </w:r>
          </w:p>
        </w:tc>
        <w:tc>
          <w:tcPr>
            <w:tcW w:w="4392" w:type="dxa"/>
            <w:vAlign w:val="center"/>
          </w:tcPr>
          <w:p w14:paraId="5F6BAAD2" w14:textId="77777777" w:rsidR="00E62660" w:rsidRDefault="00E62660" w:rsidP="00AC1371">
            <w:pPr>
              <w:spacing w:line="276" w:lineRule="auto"/>
            </w:pPr>
          </w:p>
        </w:tc>
      </w:tr>
      <w:tr w:rsidR="00E62660" w14:paraId="4C55C99C" w14:textId="77777777" w:rsidTr="00AC1371">
        <w:trPr>
          <w:trHeight w:val="800"/>
        </w:trPr>
        <w:tc>
          <w:tcPr>
            <w:tcW w:w="647" w:type="dxa"/>
            <w:vAlign w:val="center"/>
          </w:tcPr>
          <w:p w14:paraId="5105323F" w14:textId="77777777" w:rsidR="00E62660" w:rsidRDefault="00E62660" w:rsidP="00AC1371">
            <w:pPr>
              <w:spacing w:line="276" w:lineRule="auto"/>
            </w:pPr>
            <w:r>
              <w:t>8</w:t>
            </w:r>
            <w:r w:rsidR="00221C7E">
              <w:t>.i</w:t>
            </w:r>
          </w:p>
        </w:tc>
        <w:tc>
          <w:tcPr>
            <w:tcW w:w="4856" w:type="dxa"/>
            <w:vAlign w:val="center"/>
          </w:tcPr>
          <w:p w14:paraId="4F658CA1" w14:textId="77777777" w:rsidR="007E7CF5" w:rsidRDefault="007E7CF5" w:rsidP="00AC1371">
            <w:pPr>
              <w:spacing w:after="80" w:line="276" w:lineRule="auto"/>
            </w:pPr>
            <w:r>
              <w:t xml:space="preserve">General consensus was that holiday downtime should be eliminated and that the DSB should look to move to a 24/6.5 or 7/7 model to facilitate a global trading environment. </w:t>
            </w:r>
          </w:p>
          <w:p w14:paraId="05D0CBFE" w14:textId="77777777" w:rsidR="007E7CF5" w:rsidRDefault="007E7CF5" w:rsidP="00AC1371">
            <w:pPr>
              <w:spacing w:after="120" w:line="276" w:lineRule="auto"/>
            </w:pPr>
            <w:r>
              <w:t xml:space="preserve">The DSB anticipates that supporting the additional coverage and services would require the following marginal resource increase. Note that the figures below are provided on both an isolated service and combined package basis, with isolated costs over-estimating the actual resource requirements given the synergies across the individual items. </w:t>
            </w:r>
          </w:p>
          <w:p w14:paraId="362E7809" w14:textId="77777777" w:rsidR="007E7CF5" w:rsidRDefault="007E7CF5" w:rsidP="00AC1371">
            <w:pPr>
              <w:spacing w:after="120" w:line="276" w:lineRule="auto"/>
            </w:pPr>
            <w:r w:rsidRPr="007E7CF5">
              <w:rPr>
                <w:u w:val="single"/>
              </w:rPr>
              <w:t>Isolated service costs</w:t>
            </w:r>
            <w:r>
              <w:t xml:space="preserve"> – if any given service was to be implanted on a stand-alone basis:</w:t>
            </w:r>
          </w:p>
          <w:p w14:paraId="2FBFC3EB" w14:textId="77777777" w:rsidR="007E7CF5" w:rsidRPr="00CE311F" w:rsidRDefault="007E7CF5" w:rsidP="00AC1371">
            <w:pPr>
              <w:pStyle w:val="ListParagraph"/>
              <w:numPr>
                <w:ilvl w:val="0"/>
                <w:numId w:val="38"/>
              </w:numPr>
              <w:spacing w:after="120" w:line="276" w:lineRule="auto"/>
              <w:contextualSpacing w:val="0"/>
            </w:pPr>
            <w:r>
              <w:t>Remain operational across all holidays (</w:t>
            </w:r>
            <w:r w:rsidRPr="006F7700">
              <w:t>0.</w:t>
            </w:r>
            <w:r>
              <w:t>2</w:t>
            </w:r>
            <w:r w:rsidRPr="006F7700">
              <w:t xml:space="preserve"> FTE </w:t>
            </w:r>
            <w:r>
              <w:t>technical</w:t>
            </w:r>
            <w:r w:rsidRPr="006F7700">
              <w:t xml:space="preserve"> support</w:t>
            </w:r>
            <w:r>
              <w:t xml:space="preserve"> uplift)</w:t>
            </w:r>
          </w:p>
          <w:p w14:paraId="6ACBCF42" w14:textId="77777777" w:rsidR="007E7CF5" w:rsidRDefault="007E7CF5" w:rsidP="00AC1371">
            <w:pPr>
              <w:pStyle w:val="ListParagraph"/>
              <w:numPr>
                <w:ilvl w:val="0"/>
                <w:numId w:val="38"/>
              </w:numPr>
              <w:spacing w:after="120" w:line="276" w:lineRule="auto"/>
              <w:contextualSpacing w:val="0"/>
            </w:pPr>
            <w:r>
              <w:t>Increase availability hours from 24x6 to 24x6.5 by reducing weekly downtime to between Saturday 20:00 UTC and Sunday 08:00 UTC (0.6 FTE technical support uplift)</w:t>
            </w:r>
          </w:p>
          <w:p w14:paraId="27DAFC5B" w14:textId="77777777" w:rsidR="007E7CF5" w:rsidRPr="006F7700" w:rsidRDefault="007E7CF5" w:rsidP="00AC1371">
            <w:pPr>
              <w:pStyle w:val="ListParagraph"/>
              <w:numPr>
                <w:ilvl w:val="0"/>
                <w:numId w:val="38"/>
              </w:numPr>
              <w:spacing w:after="120" w:line="276" w:lineRule="auto"/>
              <w:contextualSpacing w:val="0"/>
            </w:pPr>
            <w:r>
              <w:t xml:space="preserve">Improve email response times for Power Users (2 FTE technical </w:t>
            </w:r>
            <w:r w:rsidRPr="006F7700">
              <w:t>24 x 6.5 coverage: 2 x additional tech</w:t>
            </w:r>
            <w:r>
              <w:t>nical</w:t>
            </w:r>
            <w:r w:rsidRPr="006F7700">
              <w:t xml:space="preserve"> support</w:t>
            </w:r>
          </w:p>
          <w:p w14:paraId="170FFFC2" w14:textId="77777777" w:rsidR="007E7CF5" w:rsidRDefault="007E7CF5" w:rsidP="00AC1371">
            <w:pPr>
              <w:pStyle w:val="ListParagraph"/>
              <w:numPr>
                <w:ilvl w:val="0"/>
                <w:numId w:val="38"/>
              </w:numPr>
              <w:spacing w:after="120" w:line="276" w:lineRule="auto"/>
              <w:contextualSpacing w:val="0"/>
            </w:pPr>
            <w:r>
              <w:t>Instigate on-call rota for technical support during unavailability hours for addressing system failures (0.5 FTE technical support uplift)</w:t>
            </w:r>
          </w:p>
          <w:p w14:paraId="5BD38101" w14:textId="77777777" w:rsidR="007E7CF5" w:rsidRDefault="007E7CF5" w:rsidP="00AC1371">
            <w:pPr>
              <w:pStyle w:val="ListParagraph"/>
              <w:numPr>
                <w:ilvl w:val="0"/>
                <w:numId w:val="38"/>
              </w:numPr>
              <w:spacing w:after="120" w:line="276" w:lineRule="auto"/>
              <w:contextualSpacing w:val="0"/>
            </w:pPr>
            <w:r>
              <w:t xml:space="preserve">Move to a monthly release schedule for all Business-as-Usual functionality changes, with the aim of moving to quarterly release </w:t>
            </w:r>
            <w:r>
              <w:lastRenderedPageBreak/>
              <w:t>cycles by the end of the 2019 (no impact on resourcing)</w:t>
            </w:r>
          </w:p>
          <w:p w14:paraId="5C08E0CC" w14:textId="77777777" w:rsidR="007E7CF5" w:rsidRDefault="007E7CF5" w:rsidP="00AC1371">
            <w:pPr>
              <w:spacing w:after="120" w:line="276" w:lineRule="auto"/>
            </w:pPr>
            <w:r w:rsidRPr="00CE311F">
              <w:rPr>
                <w:u w:val="single"/>
              </w:rPr>
              <w:t>Packaged service costs</w:t>
            </w:r>
            <w:r>
              <w:t xml:space="preserve"> - implementing the service level improvements in I though V above as a synergistic package will result in the following resource uplifts:</w:t>
            </w:r>
          </w:p>
          <w:p w14:paraId="5BA4DF5A" w14:textId="77777777" w:rsidR="007E7CF5" w:rsidRPr="00A062F0" w:rsidRDefault="007E7CF5" w:rsidP="00AC1371">
            <w:pPr>
              <w:pStyle w:val="ListParagraph"/>
              <w:numPr>
                <w:ilvl w:val="0"/>
                <w:numId w:val="38"/>
              </w:numPr>
              <w:spacing w:after="120" w:line="276" w:lineRule="auto"/>
              <w:contextualSpacing w:val="0"/>
            </w:pPr>
            <w:r w:rsidRPr="00A062F0">
              <w:t xml:space="preserve">Technical Support uplift from 6.5 FTE to </w:t>
            </w:r>
            <w:r>
              <w:t>10</w:t>
            </w:r>
            <w:r w:rsidRPr="00A062F0">
              <w:t xml:space="preserve"> FTE</w:t>
            </w:r>
          </w:p>
          <w:p w14:paraId="5F197974" w14:textId="77777777" w:rsidR="007E7CF5" w:rsidRPr="00A062F0" w:rsidRDefault="007E7CF5" w:rsidP="00AC1371">
            <w:pPr>
              <w:pStyle w:val="ListParagraph"/>
              <w:numPr>
                <w:ilvl w:val="0"/>
                <w:numId w:val="38"/>
              </w:numPr>
              <w:spacing w:after="120" w:line="276" w:lineRule="auto"/>
              <w:contextualSpacing w:val="0"/>
            </w:pPr>
            <w:r w:rsidRPr="00A062F0">
              <w:t>Secretariat / Product Management uplift from 2 FTE to 3 FTE</w:t>
            </w:r>
          </w:p>
          <w:p w14:paraId="6F553759" w14:textId="77777777" w:rsidR="007E7CF5" w:rsidRDefault="007E7CF5" w:rsidP="00AC1371">
            <w:pPr>
              <w:pStyle w:val="ListParagraph"/>
              <w:numPr>
                <w:ilvl w:val="0"/>
                <w:numId w:val="38"/>
              </w:numPr>
              <w:spacing w:after="120" w:line="276" w:lineRule="auto"/>
              <w:contextualSpacing w:val="0"/>
            </w:pPr>
            <w:r>
              <w:t>Implementing this service is expected to cost €700k p.a. which includes resource, office, infrastructure and related administrative costs.</w:t>
            </w:r>
          </w:p>
          <w:p w14:paraId="333933DD" w14:textId="77777777" w:rsidR="007E7CF5" w:rsidRDefault="007E7CF5" w:rsidP="00AC1371">
            <w:pPr>
              <w:spacing w:after="120" w:line="276" w:lineRule="auto"/>
            </w:pPr>
            <w:r>
              <w:t>Do you concur that the DSB should be implementing the proposed service level improvements as outlined above? Please explain your reasoning.</w:t>
            </w:r>
          </w:p>
        </w:tc>
        <w:tc>
          <w:tcPr>
            <w:tcW w:w="4392" w:type="dxa"/>
            <w:vAlign w:val="center"/>
          </w:tcPr>
          <w:p w14:paraId="348779BB" w14:textId="77777777" w:rsidR="00E62660" w:rsidRDefault="00E62660" w:rsidP="00AC1371">
            <w:pPr>
              <w:spacing w:line="276" w:lineRule="auto"/>
            </w:pPr>
          </w:p>
        </w:tc>
      </w:tr>
      <w:tr w:rsidR="00E62660" w14:paraId="2B25545E" w14:textId="77777777" w:rsidTr="00D75B7D">
        <w:trPr>
          <w:trHeight w:val="1610"/>
        </w:trPr>
        <w:tc>
          <w:tcPr>
            <w:tcW w:w="647" w:type="dxa"/>
            <w:vAlign w:val="center"/>
          </w:tcPr>
          <w:p w14:paraId="122434E0" w14:textId="77777777" w:rsidR="00E62660" w:rsidRDefault="00E62660" w:rsidP="00AC1371">
            <w:pPr>
              <w:spacing w:line="276" w:lineRule="auto"/>
            </w:pPr>
            <w:r>
              <w:t>8</w:t>
            </w:r>
            <w:r w:rsidR="00221C7E">
              <w:t>.ii</w:t>
            </w:r>
          </w:p>
        </w:tc>
        <w:tc>
          <w:tcPr>
            <w:tcW w:w="4856" w:type="dxa"/>
            <w:vAlign w:val="center"/>
          </w:tcPr>
          <w:p w14:paraId="120D28A1" w14:textId="77777777" w:rsidR="00E62660" w:rsidRDefault="007E7CF5" w:rsidP="00AC1371">
            <w:pPr>
              <w:spacing w:after="120" w:line="276" w:lineRule="auto"/>
            </w:pPr>
            <w:r>
              <w:t>If not, which of the individual service level improvements outlined above would you wish to see implemented, if any? Please explain your reasoning.</w:t>
            </w:r>
          </w:p>
        </w:tc>
        <w:tc>
          <w:tcPr>
            <w:tcW w:w="4392" w:type="dxa"/>
            <w:vAlign w:val="center"/>
          </w:tcPr>
          <w:p w14:paraId="1DDC6542" w14:textId="77777777" w:rsidR="00E62660" w:rsidRDefault="00E62660" w:rsidP="00AC1371">
            <w:pPr>
              <w:spacing w:line="276" w:lineRule="auto"/>
            </w:pPr>
          </w:p>
        </w:tc>
      </w:tr>
      <w:tr w:rsidR="00E62660" w14:paraId="5A70C685" w14:textId="77777777" w:rsidTr="00D75B7D">
        <w:trPr>
          <w:trHeight w:val="1790"/>
        </w:trPr>
        <w:tc>
          <w:tcPr>
            <w:tcW w:w="647" w:type="dxa"/>
            <w:vAlign w:val="center"/>
          </w:tcPr>
          <w:p w14:paraId="52226740" w14:textId="77777777" w:rsidR="00E62660" w:rsidRDefault="00E62660" w:rsidP="00AC1371">
            <w:pPr>
              <w:spacing w:line="276" w:lineRule="auto"/>
            </w:pPr>
            <w:r>
              <w:t>8</w:t>
            </w:r>
            <w:r w:rsidR="00221C7E">
              <w:t>.iii</w:t>
            </w:r>
          </w:p>
        </w:tc>
        <w:tc>
          <w:tcPr>
            <w:tcW w:w="4856" w:type="dxa"/>
            <w:vAlign w:val="center"/>
          </w:tcPr>
          <w:p w14:paraId="3CF61638" w14:textId="77777777" w:rsidR="00F91326" w:rsidRDefault="00F91326" w:rsidP="00D75B7D">
            <w:pPr>
              <w:spacing w:after="120" w:line="276" w:lineRule="auto"/>
            </w:pPr>
            <w:r>
              <w:t>Telephone access to technical support during availability hours requires an additional 4.5 x FTE technical Support uplift. Implementing this service is expected to cost €610k p.a. which includes resource, office, infrastructure and related administrative and financing costs.</w:t>
            </w:r>
            <w:r w:rsidRPr="008F01DB">
              <w:t xml:space="preserve"> </w:t>
            </w:r>
          </w:p>
          <w:p w14:paraId="0284161C" w14:textId="15FBC2D3" w:rsidR="00E62660" w:rsidRDefault="00F91326" w:rsidP="00AC1371">
            <w:pPr>
              <w:spacing w:after="120" w:line="276" w:lineRule="auto"/>
            </w:pPr>
            <w:r>
              <w:t xml:space="preserve">Do you believe telephone access to technical support is required within the cost-recovery ring-fence? If yes, what availability hours do you require? </w:t>
            </w:r>
          </w:p>
        </w:tc>
        <w:tc>
          <w:tcPr>
            <w:tcW w:w="4392" w:type="dxa"/>
            <w:vAlign w:val="center"/>
          </w:tcPr>
          <w:p w14:paraId="2050E513" w14:textId="77777777" w:rsidR="00E62660" w:rsidRDefault="00E62660" w:rsidP="00AC1371">
            <w:pPr>
              <w:spacing w:line="276" w:lineRule="auto"/>
            </w:pPr>
          </w:p>
        </w:tc>
      </w:tr>
      <w:tr w:rsidR="00E62660" w14:paraId="645BC327" w14:textId="77777777" w:rsidTr="00D75B7D">
        <w:trPr>
          <w:trHeight w:val="3230"/>
        </w:trPr>
        <w:tc>
          <w:tcPr>
            <w:tcW w:w="647" w:type="dxa"/>
            <w:vAlign w:val="center"/>
          </w:tcPr>
          <w:p w14:paraId="337CCB23" w14:textId="77777777" w:rsidR="00E62660" w:rsidRDefault="00E62660" w:rsidP="00AC1371">
            <w:pPr>
              <w:spacing w:line="276" w:lineRule="auto"/>
            </w:pPr>
            <w:r>
              <w:lastRenderedPageBreak/>
              <w:t>8</w:t>
            </w:r>
            <w:r w:rsidR="00221C7E">
              <w:t>.iv</w:t>
            </w:r>
          </w:p>
        </w:tc>
        <w:tc>
          <w:tcPr>
            <w:tcW w:w="4856" w:type="dxa"/>
            <w:vAlign w:val="center"/>
          </w:tcPr>
          <w:p w14:paraId="5589C9FE" w14:textId="09636D37" w:rsidR="00E62660" w:rsidRDefault="00D75B7D" w:rsidP="00AC1371">
            <w:pPr>
              <w:spacing w:after="120" w:line="276" w:lineRule="auto"/>
            </w:pPr>
            <w:r w:rsidRPr="009F59A8">
              <w:t>Telephone access to product support during London hours requires an additional 1x FTE secretariat / product management uplift. The expectation is that this resource would be able to respond to the more complex questions typically requested by Power Users.  Implementing this service is expected to cost €360k p.a. which</w:t>
            </w:r>
            <w:r>
              <w:t xml:space="preserve"> </w:t>
            </w:r>
            <w:r w:rsidRPr="009F59A8">
              <w:t>includes resource, office, infrastructure and related administrative and financing costs.</w:t>
            </w:r>
          </w:p>
        </w:tc>
        <w:tc>
          <w:tcPr>
            <w:tcW w:w="4392" w:type="dxa"/>
            <w:vAlign w:val="center"/>
          </w:tcPr>
          <w:p w14:paraId="2216EBAB" w14:textId="77777777" w:rsidR="00E62660" w:rsidRDefault="00E62660" w:rsidP="00AC1371">
            <w:pPr>
              <w:spacing w:line="276" w:lineRule="auto"/>
            </w:pPr>
          </w:p>
        </w:tc>
      </w:tr>
      <w:tr w:rsidR="00E62660" w14:paraId="24869928" w14:textId="77777777" w:rsidTr="00AC1371">
        <w:trPr>
          <w:trHeight w:val="1619"/>
        </w:trPr>
        <w:tc>
          <w:tcPr>
            <w:tcW w:w="647" w:type="dxa"/>
            <w:vAlign w:val="center"/>
          </w:tcPr>
          <w:p w14:paraId="2F5AACAD" w14:textId="77777777" w:rsidR="00E62660" w:rsidRDefault="00E62660" w:rsidP="00AC1371">
            <w:pPr>
              <w:spacing w:line="276" w:lineRule="auto"/>
            </w:pPr>
            <w:r>
              <w:t>8</w:t>
            </w:r>
            <w:r w:rsidR="00221C7E">
              <w:t>.v</w:t>
            </w:r>
          </w:p>
        </w:tc>
        <w:tc>
          <w:tcPr>
            <w:tcW w:w="4856" w:type="dxa"/>
            <w:vAlign w:val="center"/>
          </w:tcPr>
          <w:p w14:paraId="449F25D7" w14:textId="77777777" w:rsidR="00E62660" w:rsidRDefault="007E7CF5" w:rsidP="00AC1371">
            <w:pPr>
              <w:spacing w:after="120" w:line="276" w:lineRule="auto"/>
            </w:pPr>
            <w:r>
              <w:t>Do you believe telephone access to technical support is required within the cost-recovery ring-fence? If yes, what availability hours do you require?</w:t>
            </w:r>
          </w:p>
        </w:tc>
        <w:tc>
          <w:tcPr>
            <w:tcW w:w="4392" w:type="dxa"/>
            <w:vAlign w:val="center"/>
          </w:tcPr>
          <w:p w14:paraId="287B7D67" w14:textId="77777777" w:rsidR="00E62660" w:rsidRDefault="00E62660" w:rsidP="00AC1371">
            <w:pPr>
              <w:spacing w:line="276" w:lineRule="auto"/>
            </w:pPr>
          </w:p>
        </w:tc>
      </w:tr>
      <w:tr w:rsidR="00E62660" w14:paraId="6C7715EA" w14:textId="77777777" w:rsidTr="00AC1371">
        <w:trPr>
          <w:trHeight w:val="690"/>
        </w:trPr>
        <w:tc>
          <w:tcPr>
            <w:tcW w:w="647" w:type="dxa"/>
            <w:vAlign w:val="center"/>
          </w:tcPr>
          <w:p w14:paraId="5AAE6AF9" w14:textId="77777777" w:rsidR="00E62660" w:rsidRDefault="00E62660" w:rsidP="00AC1371">
            <w:pPr>
              <w:spacing w:line="276" w:lineRule="auto"/>
            </w:pPr>
            <w:r>
              <w:t>9</w:t>
            </w:r>
          </w:p>
        </w:tc>
        <w:tc>
          <w:tcPr>
            <w:tcW w:w="4856" w:type="dxa"/>
            <w:vAlign w:val="center"/>
          </w:tcPr>
          <w:p w14:paraId="704AAB52" w14:textId="77777777" w:rsidR="00F67B16" w:rsidRDefault="00F67B16" w:rsidP="00AC1371">
            <w:pPr>
              <w:spacing w:after="120" w:line="276" w:lineRule="auto"/>
            </w:pPr>
            <w:r>
              <w:t>Performance SLA – The DSB proposes</w:t>
            </w:r>
            <w:r w:rsidRPr="00BD5583">
              <w:t xml:space="preserve"> to </w:t>
            </w:r>
            <w:r>
              <w:t>implement the following changes to its performance metrics</w:t>
            </w:r>
          </w:p>
          <w:p w14:paraId="7B9B52F6" w14:textId="77777777" w:rsidR="00F67B16" w:rsidRDefault="00F67B16" w:rsidP="00AC1371">
            <w:pPr>
              <w:pStyle w:val="ListParagraph"/>
              <w:numPr>
                <w:ilvl w:val="0"/>
                <w:numId w:val="59"/>
              </w:numPr>
              <w:spacing w:after="120" w:line="276" w:lineRule="auto"/>
              <w:contextualSpacing w:val="0"/>
            </w:pPr>
            <w:r>
              <w:t>500ms latency for 99% of workflows related to ISIN Record retrieval</w:t>
            </w:r>
          </w:p>
          <w:p w14:paraId="10CA900C" w14:textId="77777777" w:rsidR="00F67B16" w:rsidRDefault="00F67B16" w:rsidP="00AC1371">
            <w:pPr>
              <w:pStyle w:val="ListParagraph"/>
              <w:numPr>
                <w:ilvl w:val="0"/>
                <w:numId w:val="59"/>
              </w:numPr>
              <w:spacing w:after="120" w:line="276" w:lineRule="auto"/>
              <w:contextualSpacing w:val="0"/>
            </w:pPr>
            <w:r>
              <w:t>1,000ms latency for 99% of workflows related to ISIN Create Requests</w:t>
            </w:r>
          </w:p>
          <w:p w14:paraId="4604C665" w14:textId="77777777" w:rsidR="00F67B16" w:rsidRDefault="00F67B16" w:rsidP="00AC1371">
            <w:pPr>
              <w:pStyle w:val="ListParagraph"/>
              <w:numPr>
                <w:ilvl w:val="0"/>
                <w:numId w:val="59"/>
              </w:numPr>
              <w:spacing w:after="120" w:line="276" w:lineRule="auto"/>
              <w:contextualSpacing w:val="0"/>
            </w:pPr>
            <w:r>
              <w:t>5,000ms latency for 99% of workflows related to ISIN Search (by metadata)</w:t>
            </w:r>
          </w:p>
          <w:p w14:paraId="403BE6B6" w14:textId="77777777" w:rsidR="00F67B16" w:rsidRDefault="00F67B16" w:rsidP="00AC1371">
            <w:pPr>
              <w:pStyle w:val="ListParagraph"/>
              <w:numPr>
                <w:ilvl w:val="0"/>
                <w:numId w:val="59"/>
              </w:numPr>
              <w:spacing w:after="120" w:line="276" w:lineRule="auto"/>
              <w:contextualSpacing w:val="0"/>
            </w:pPr>
            <w:r>
              <w:t>Implementation of this change has no impact on DSB build or run costs.</w:t>
            </w:r>
          </w:p>
          <w:p w14:paraId="550E9BAC" w14:textId="77777777" w:rsidR="00E62660" w:rsidRDefault="00F67B16" w:rsidP="00AC1371">
            <w:pPr>
              <w:spacing w:after="120" w:line="276" w:lineRule="auto"/>
            </w:pPr>
            <w:r>
              <w:t>Are there any other latency metrics</w:t>
            </w:r>
            <w:r w:rsidRPr="00BD5583">
              <w:t xml:space="preserve"> that </w:t>
            </w:r>
            <w:r>
              <w:t xml:space="preserve">should be part of the DSB performance SLA? </w:t>
            </w:r>
          </w:p>
        </w:tc>
        <w:tc>
          <w:tcPr>
            <w:tcW w:w="4392" w:type="dxa"/>
            <w:vAlign w:val="center"/>
          </w:tcPr>
          <w:p w14:paraId="2C77013C" w14:textId="77777777" w:rsidR="00E62660" w:rsidRDefault="00E62660" w:rsidP="00AC1371">
            <w:pPr>
              <w:spacing w:line="276" w:lineRule="auto"/>
            </w:pPr>
          </w:p>
        </w:tc>
      </w:tr>
      <w:tr w:rsidR="00E62660" w14:paraId="3E5AD94E" w14:textId="77777777" w:rsidTr="00A237BF">
        <w:trPr>
          <w:trHeight w:val="3680"/>
        </w:trPr>
        <w:tc>
          <w:tcPr>
            <w:tcW w:w="647" w:type="dxa"/>
            <w:vAlign w:val="center"/>
          </w:tcPr>
          <w:p w14:paraId="2F9097E9" w14:textId="77777777" w:rsidR="00E62660" w:rsidRDefault="00E62660" w:rsidP="00AC1371">
            <w:pPr>
              <w:spacing w:line="276" w:lineRule="auto"/>
            </w:pPr>
            <w:r>
              <w:t>10</w:t>
            </w:r>
            <w:r w:rsidR="00221C7E">
              <w:t>.i</w:t>
            </w:r>
          </w:p>
        </w:tc>
        <w:tc>
          <w:tcPr>
            <w:tcW w:w="4856" w:type="dxa"/>
            <w:vAlign w:val="center"/>
          </w:tcPr>
          <w:p w14:paraId="5920A0AE" w14:textId="77777777" w:rsidR="00A03EE1" w:rsidRDefault="00A03EE1" w:rsidP="00AC1371">
            <w:pPr>
              <w:spacing w:after="120" w:line="276" w:lineRule="auto"/>
            </w:pPr>
            <w:r>
              <w:t>Acceptable Use Throughput – The DSB has two possible approaches to modify the throughput caps:</w:t>
            </w:r>
          </w:p>
          <w:p w14:paraId="53C127A6" w14:textId="77777777" w:rsidR="00A03EE1" w:rsidRPr="00BD5583" w:rsidRDefault="00A03EE1" w:rsidP="00AC1371">
            <w:pPr>
              <w:pStyle w:val="ListParagraph"/>
              <w:numPr>
                <w:ilvl w:val="0"/>
                <w:numId w:val="59"/>
              </w:numPr>
              <w:spacing w:after="120" w:line="276" w:lineRule="auto"/>
              <w:contextualSpacing w:val="0"/>
            </w:pPr>
            <w:r>
              <w:t xml:space="preserve">Modify the throughput caps to allow occasional bursts above the permitted caps of 60 REST APIs per connection and one simultaneous FIX message in flight. Such a change requires a one-off €120K build cost to the monitoring and reporting systems to allow automated tracking of such burst behaviour. There is also the need for some additional system resources, dependent on the amount and duration of the burst period. As an example, the DSB estimates that allowing </w:t>
            </w:r>
            <w:r>
              <w:lastRenderedPageBreak/>
              <w:t xml:space="preserve">bursts of one hour in any 24-hour period at double the throughput caps </w:t>
            </w:r>
            <w:r w:rsidRPr="00BD5583">
              <w:t xml:space="preserve">will </w:t>
            </w:r>
            <w:r>
              <w:t>likely increase the DSB run costs by €75K. In this scenario, the overall result will be an increase in DSB costs of €75K on a recurring basis, plus an additional €30K per annum amortization of the build cost, time-limited to 4 years.</w:t>
            </w:r>
          </w:p>
          <w:p w14:paraId="341AEF7C" w14:textId="77777777" w:rsidR="00A03EE1" w:rsidRDefault="00A03EE1" w:rsidP="00AC1371">
            <w:pPr>
              <w:pStyle w:val="ListParagraph"/>
              <w:numPr>
                <w:ilvl w:val="0"/>
                <w:numId w:val="59"/>
              </w:numPr>
              <w:spacing w:after="120" w:line="276" w:lineRule="auto"/>
              <w:contextualSpacing w:val="0"/>
            </w:pPr>
            <w:r>
              <w:t>Double the throughput caps to allow constant higher levels of throughput without regard to the concept of any ‘burst mode’. Such an approach requires increased system resources, increasing the run-costs of the DSB by an estimated €420K per annum. There is no build cost for this option.</w:t>
            </w:r>
          </w:p>
          <w:p w14:paraId="08623C45" w14:textId="77777777" w:rsidR="00E62660" w:rsidRDefault="00A03EE1" w:rsidP="00AC1371">
            <w:pPr>
              <w:spacing w:after="120" w:line="276" w:lineRule="auto"/>
            </w:pPr>
            <w:r>
              <w:t>Should the DSB implement the ‘burst mode’ approach highlighted above? If yes, is a burst duration of one hour every 24 hours an appropriate initial implementation?</w:t>
            </w:r>
          </w:p>
        </w:tc>
        <w:tc>
          <w:tcPr>
            <w:tcW w:w="4392" w:type="dxa"/>
            <w:vAlign w:val="center"/>
          </w:tcPr>
          <w:p w14:paraId="3BAEDCD6" w14:textId="77777777" w:rsidR="00E62660" w:rsidRDefault="00E62660" w:rsidP="00AC1371">
            <w:pPr>
              <w:spacing w:line="276" w:lineRule="auto"/>
            </w:pPr>
          </w:p>
        </w:tc>
      </w:tr>
      <w:tr w:rsidR="00E62660" w14:paraId="62CE9BD4" w14:textId="77777777" w:rsidTr="00A237BF">
        <w:trPr>
          <w:trHeight w:val="2339"/>
        </w:trPr>
        <w:tc>
          <w:tcPr>
            <w:tcW w:w="647" w:type="dxa"/>
            <w:vAlign w:val="center"/>
          </w:tcPr>
          <w:p w14:paraId="3E4F5DD4" w14:textId="77777777" w:rsidR="00E62660" w:rsidRDefault="00E62660" w:rsidP="00AC1371">
            <w:pPr>
              <w:spacing w:line="276" w:lineRule="auto"/>
            </w:pPr>
            <w:r>
              <w:t>10</w:t>
            </w:r>
            <w:r w:rsidR="00221C7E">
              <w:t>.ii</w:t>
            </w:r>
          </w:p>
        </w:tc>
        <w:tc>
          <w:tcPr>
            <w:tcW w:w="4856" w:type="dxa"/>
            <w:vAlign w:val="center"/>
          </w:tcPr>
          <w:p w14:paraId="05CF555A" w14:textId="77777777" w:rsidR="00E62660" w:rsidRDefault="00A03EE1" w:rsidP="00AC1371">
            <w:pPr>
              <w:spacing w:after="120" w:line="276" w:lineRule="auto"/>
            </w:pPr>
            <w:r>
              <w:t xml:space="preserve">Should the DSB implement an increase in the throughput caps? If so, is a doubling of the existing cap level an appropriate initial implementation? </w:t>
            </w:r>
          </w:p>
        </w:tc>
        <w:tc>
          <w:tcPr>
            <w:tcW w:w="4392" w:type="dxa"/>
            <w:vAlign w:val="center"/>
          </w:tcPr>
          <w:p w14:paraId="7E0A0E2C" w14:textId="77777777" w:rsidR="00E62660" w:rsidRDefault="00E62660" w:rsidP="00AC1371">
            <w:pPr>
              <w:spacing w:line="276" w:lineRule="auto"/>
            </w:pPr>
          </w:p>
        </w:tc>
      </w:tr>
      <w:tr w:rsidR="00E62660" w14:paraId="5D272917" w14:textId="77777777" w:rsidTr="00AC1371">
        <w:trPr>
          <w:trHeight w:val="690"/>
        </w:trPr>
        <w:tc>
          <w:tcPr>
            <w:tcW w:w="9895" w:type="dxa"/>
            <w:gridSpan w:val="3"/>
            <w:vAlign w:val="center"/>
          </w:tcPr>
          <w:p w14:paraId="2B3CF8F2" w14:textId="77777777" w:rsidR="00E62660" w:rsidRDefault="00E62660" w:rsidP="00AC1371">
            <w:pPr>
              <w:spacing w:line="276" w:lineRule="auto"/>
            </w:pPr>
            <w:r w:rsidRPr="00BA03D0">
              <w:rPr>
                <w:b/>
                <w:color w:val="0070C0"/>
                <w:sz w:val="24"/>
              </w:rPr>
              <w:t>S</w:t>
            </w:r>
            <w:r w:rsidR="00221C7E">
              <w:rPr>
                <w:b/>
                <w:color w:val="0070C0"/>
                <w:sz w:val="24"/>
              </w:rPr>
              <w:t xml:space="preserve">ection </w:t>
            </w:r>
            <w:r>
              <w:rPr>
                <w:b/>
                <w:color w:val="0070C0"/>
                <w:sz w:val="24"/>
              </w:rPr>
              <w:t>4</w:t>
            </w:r>
            <w:r w:rsidRPr="00BA03D0">
              <w:rPr>
                <w:b/>
                <w:color w:val="0070C0"/>
                <w:sz w:val="24"/>
              </w:rPr>
              <w:t>: S</w:t>
            </w:r>
            <w:r w:rsidR="00221C7E">
              <w:rPr>
                <w:b/>
                <w:color w:val="0070C0"/>
                <w:sz w:val="24"/>
              </w:rPr>
              <w:t xml:space="preserve">ervice Resiliency </w:t>
            </w:r>
          </w:p>
        </w:tc>
      </w:tr>
      <w:tr w:rsidR="00E62660" w14:paraId="4577B754" w14:textId="77777777" w:rsidTr="00A237BF">
        <w:trPr>
          <w:trHeight w:val="6578"/>
        </w:trPr>
        <w:tc>
          <w:tcPr>
            <w:tcW w:w="647" w:type="dxa"/>
            <w:vAlign w:val="center"/>
          </w:tcPr>
          <w:p w14:paraId="426034A4" w14:textId="77777777" w:rsidR="00E62660" w:rsidRDefault="00E62660" w:rsidP="00AC1371">
            <w:pPr>
              <w:spacing w:line="276" w:lineRule="auto"/>
            </w:pPr>
            <w:r>
              <w:lastRenderedPageBreak/>
              <w:t>11</w:t>
            </w:r>
          </w:p>
        </w:tc>
        <w:tc>
          <w:tcPr>
            <w:tcW w:w="4856" w:type="dxa"/>
            <w:vAlign w:val="center"/>
          </w:tcPr>
          <w:p w14:paraId="7FD056E2" w14:textId="77777777" w:rsidR="0095551C" w:rsidRDefault="0095551C" w:rsidP="00AC1371">
            <w:pPr>
              <w:spacing w:after="120" w:line="276" w:lineRule="auto"/>
            </w:pPr>
            <w:r>
              <w:t>Some respondents concurred with the need for the DSB to institute m</w:t>
            </w:r>
            <w:r w:rsidRPr="00EF3B8C">
              <w:t>ultiple primary</w:t>
            </w:r>
            <w:r>
              <w:t xml:space="preserve"> based disaster recovery architecture. The DSB expects such an approach will reduce industry downtime during a disaster from 4 hours to between 1-2 hours.</w:t>
            </w:r>
          </w:p>
          <w:p w14:paraId="76A21E19" w14:textId="77777777" w:rsidR="0095551C" w:rsidRDefault="0095551C" w:rsidP="00AC1371">
            <w:pPr>
              <w:spacing w:after="120" w:line="276" w:lineRule="auto"/>
            </w:pPr>
            <w:r>
              <w:t xml:space="preserve">The implementation of such a solution requires a significant change to the DR architecture. The DSB estimates build cost of a primary / primary model at between </w:t>
            </w:r>
            <w:r w:rsidRPr="00EF3B8C">
              <w:t>€</w:t>
            </w:r>
            <w:r>
              <w:t>1m</w:t>
            </w:r>
            <w:r w:rsidRPr="00EF3B8C">
              <w:t xml:space="preserve"> </w:t>
            </w:r>
            <w:r>
              <w:t xml:space="preserve">and </w:t>
            </w:r>
            <w:r w:rsidRPr="00EF3B8C">
              <w:t>€1.5m</w:t>
            </w:r>
            <w:r>
              <w:t xml:space="preserve">, with no additional run-cost implications. The resulting annual increase in costs within the communal cost recovery ring-fence would be between </w:t>
            </w:r>
            <w:r w:rsidRPr="00EF3B8C">
              <w:t>€</w:t>
            </w:r>
            <w:r>
              <w:t>250K</w:t>
            </w:r>
            <w:r w:rsidRPr="00EF3B8C">
              <w:t xml:space="preserve"> </w:t>
            </w:r>
            <w:r>
              <w:t xml:space="preserve">and </w:t>
            </w:r>
            <w:r w:rsidRPr="00EF3B8C">
              <w:t>€</w:t>
            </w:r>
            <w:r>
              <w:t>375K per annum for the 4 years of build cost amortization.</w:t>
            </w:r>
          </w:p>
          <w:p w14:paraId="4469AAFB" w14:textId="77777777" w:rsidR="0095551C" w:rsidRDefault="0095551C" w:rsidP="00AC1371">
            <w:pPr>
              <w:spacing w:after="120" w:line="276" w:lineRule="auto"/>
            </w:pPr>
            <w:r>
              <w:t xml:space="preserve">If approved, the DSB proposes to implement this approach by working with the TAC to agree the detailed design. </w:t>
            </w:r>
          </w:p>
          <w:p w14:paraId="24D12971" w14:textId="77777777" w:rsidR="00E62660" w:rsidRPr="006F7700" w:rsidRDefault="0095551C" w:rsidP="00AC1371">
            <w:pPr>
              <w:spacing w:after="120" w:line="276" w:lineRule="auto"/>
            </w:pPr>
            <w:r>
              <w:t xml:space="preserve">Do you concur with implementation of this approach?  </w:t>
            </w:r>
          </w:p>
        </w:tc>
        <w:tc>
          <w:tcPr>
            <w:tcW w:w="4392" w:type="dxa"/>
            <w:vAlign w:val="center"/>
          </w:tcPr>
          <w:p w14:paraId="072F87C1" w14:textId="77777777" w:rsidR="00E62660" w:rsidRDefault="00E62660" w:rsidP="00AC1371">
            <w:pPr>
              <w:spacing w:line="276" w:lineRule="auto"/>
            </w:pPr>
          </w:p>
        </w:tc>
      </w:tr>
      <w:tr w:rsidR="00E62660" w14:paraId="2E2649D9" w14:textId="77777777" w:rsidTr="00AC1371">
        <w:trPr>
          <w:trHeight w:val="754"/>
        </w:trPr>
        <w:tc>
          <w:tcPr>
            <w:tcW w:w="9895" w:type="dxa"/>
            <w:gridSpan w:val="3"/>
            <w:vAlign w:val="center"/>
          </w:tcPr>
          <w:p w14:paraId="1CC0DE8B" w14:textId="77777777" w:rsidR="00E62660" w:rsidRDefault="00E62660" w:rsidP="00AC1371">
            <w:pPr>
              <w:spacing w:line="276" w:lineRule="auto"/>
            </w:pPr>
            <w:r w:rsidRPr="002D3734">
              <w:rPr>
                <w:b/>
                <w:color w:val="0070C0"/>
                <w:sz w:val="24"/>
              </w:rPr>
              <w:t>S</w:t>
            </w:r>
            <w:r w:rsidR="00221C7E">
              <w:rPr>
                <w:b/>
                <w:color w:val="0070C0"/>
                <w:sz w:val="24"/>
              </w:rPr>
              <w:t xml:space="preserve">ection </w:t>
            </w:r>
            <w:r>
              <w:rPr>
                <w:b/>
                <w:color w:val="0070C0"/>
                <w:sz w:val="24"/>
              </w:rPr>
              <w:t>5</w:t>
            </w:r>
            <w:r w:rsidRPr="002D3734">
              <w:rPr>
                <w:b/>
                <w:color w:val="0070C0"/>
                <w:sz w:val="24"/>
              </w:rPr>
              <w:t>:</w:t>
            </w:r>
            <w:r>
              <w:rPr>
                <w:b/>
                <w:color w:val="0070C0"/>
                <w:sz w:val="24"/>
              </w:rPr>
              <w:t xml:space="preserve"> </w:t>
            </w:r>
            <w:r w:rsidR="00221C7E">
              <w:rPr>
                <w:b/>
                <w:color w:val="0070C0"/>
                <w:sz w:val="24"/>
              </w:rPr>
              <w:t xml:space="preserve">Usage and Access Agreement </w:t>
            </w:r>
          </w:p>
        </w:tc>
      </w:tr>
      <w:tr w:rsidR="00E62660" w14:paraId="4D4E99CB" w14:textId="77777777" w:rsidTr="00AC1371">
        <w:trPr>
          <w:trHeight w:val="3914"/>
        </w:trPr>
        <w:tc>
          <w:tcPr>
            <w:tcW w:w="647" w:type="dxa"/>
            <w:vAlign w:val="center"/>
          </w:tcPr>
          <w:p w14:paraId="0DEBCB06" w14:textId="77777777" w:rsidR="00E62660" w:rsidRDefault="00E62660" w:rsidP="00AC1371">
            <w:pPr>
              <w:spacing w:line="276" w:lineRule="auto"/>
            </w:pPr>
            <w:r>
              <w:t>12</w:t>
            </w:r>
            <w:r w:rsidR="00221C7E">
              <w:t>.i</w:t>
            </w:r>
          </w:p>
        </w:tc>
        <w:tc>
          <w:tcPr>
            <w:tcW w:w="4856" w:type="dxa"/>
            <w:vAlign w:val="center"/>
          </w:tcPr>
          <w:p w14:paraId="29D859B5" w14:textId="77777777" w:rsidR="001F13BB" w:rsidRDefault="001F13BB" w:rsidP="00AC1371">
            <w:pPr>
              <w:spacing w:after="120" w:line="276" w:lineRule="auto"/>
            </w:pPr>
            <w:r>
              <w:t xml:space="preserve">There has been mixed response on the desire for differentiated agreement terms for intermediaries (e.g. data vendors or other institutions providing enhancement, storage or distribution of DSB Power User Data. Note that DSB Registered User Data (i.e. data drawn exclusively from end of day file downloads) is free to use and/or distribute, subject to third party terms.) vs. End Users. </w:t>
            </w:r>
          </w:p>
          <w:p w14:paraId="6BF634E4" w14:textId="77777777" w:rsidR="00E62660" w:rsidRDefault="001F13BB" w:rsidP="00AC1371">
            <w:pPr>
              <w:spacing w:after="120" w:line="276" w:lineRule="auto"/>
            </w:pPr>
            <w:r>
              <w:t xml:space="preserve">Do you believe audit rights should be incorporated within the agreement terms for such institutions? </w:t>
            </w:r>
          </w:p>
        </w:tc>
        <w:tc>
          <w:tcPr>
            <w:tcW w:w="4392" w:type="dxa"/>
            <w:vAlign w:val="center"/>
          </w:tcPr>
          <w:p w14:paraId="5F57FB3F" w14:textId="77777777" w:rsidR="00E62660" w:rsidRDefault="00E62660" w:rsidP="00AC1371">
            <w:pPr>
              <w:spacing w:line="276" w:lineRule="auto"/>
            </w:pPr>
          </w:p>
        </w:tc>
      </w:tr>
      <w:tr w:rsidR="00E62660" w14:paraId="6987977A" w14:textId="77777777" w:rsidTr="00AC1371">
        <w:trPr>
          <w:trHeight w:val="1529"/>
        </w:trPr>
        <w:tc>
          <w:tcPr>
            <w:tcW w:w="647" w:type="dxa"/>
            <w:vAlign w:val="center"/>
          </w:tcPr>
          <w:p w14:paraId="5B6EEEE4" w14:textId="77777777" w:rsidR="00E62660" w:rsidRDefault="00E62660" w:rsidP="00AC1371">
            <w:pPr>
              <w:spacing w:line="276" w:lineRule="auto"/>
            </w:pPr>
            <w:r>
              <w:t>12</w:t>
            </w:r>
            <w:r w:rsidR="00221C7E">
              <w:t>.ii</w:t>
            </w:r>
          </w:p>
        </w:tc>
        <w:tc>
          <w:tcPr>
            <w:tcW w:w="4856" w:type="dxa"/>
            <w:vAlign w:val="center"/>
          </w:tcPr>
          <w:p w14:paraId="49CF7B1E" w14:textId="77777777" w:rsidR="00E62660" w:rsidRDefault="001F13BB" w:rsidP="00AC1371">
            <w:pPr>
              <w:spacing w:after="120" w:line="276" w:lineRule="auto"/>
            </w:pPr>
            <w:r>
              <w:t xml:space="preserve">Do you have a view on the specific terms you wish to see excluded/included within the user agreement for intermediaries? Please specify exact language and rationale for your proposal. </w:t>
            </w:r>
          </w:p>
        </w:tc>
        <w:tc>
          <w:tcPr>
            <w:tcW w:w="4392" w:type="dxa"/>
            <w:vAlign w:val="center"/>
          </w:tcPr>
          <w:p w14:paraId="37B30305" w14:textId="77777777" w:rsidR="00E62660" w:rsidRDefault="00E62660" w:rsidP="00AC1371">
            <w:pPr>
              <w:spacing w:line="276" w:lineRule="auto"/>
            </w:pPr>
          </w:p>
        </w:tc>
      </w:tr>
      <w:tr w:rsidR="00E62660" w14:paraId="37B74D85" w14:textId="77777777" w:rsidTr="00AC1371">
        <w:trPr>
          <w:trHeight w:val="754"/>
        </w:trPr>
        <w:tc>
          <w:tcPr>
            <w:tcW w:w="9895" w:type="dxa"/>
            <w:gridSpan w:val="3"/>
            <w:vAlign w:val="center"/>
          </w:tcPr>
          <w:p w14:paraId="11CB1A29" w14:textId="77777777" w:rsidR="00E62660" w:rsidRDefault="00E62660" w:rsidP="00AC1371">
            <w:pPr>
              <w:spacing w:line="276" w:lineRule="auto"/>
            </w:pPr>
            <w:r w:rsidRPr="002D3734">
              <w:rPr>
                <w:b/>
                <w:color w:val="0070C0"/>
                <w:sz w:val="24"/>
              </w:rPr>
              <w:t>S</w:t>
            </w:r>
            <w:r w:rsidR="00221C7E">
              <w:rPr>
                <w:b/>
                <w:color w:val="0070C0"/>
                <w:sz w:val="24"/>
              </w:rPr>
              <w:t>ection 6</w:t>
            </w:r>
            <w:r w:rsidRPr="002D3734">
              <w:rPr>
                <w:b/>
                <w:color w:val="0070C0"/>
                <w:sz w:val="24"/>
              </w:rPr>
              <w:t>:</w:t>
            </w:r>
            <w:r w:rsidR="00221C7E">
              <w:rPr>
                <w:b/>
                <w:color w:val="0070C0"/>
                <w:sz w:val="24"/>
              </w:rPr>
              <w:t xml:space="preserve"> AOB</w:t>
            </w:r>
          </w:p>
        </w:tc>
      </w:tr>
      <w:tr w:rsidR="00E62660" w14:paraId="55A794C1" w14:textId="77777777" w:rsidTr="00AC1371">
        <w:trPr>
          <w:trHeight w:val="786"/>
        </w:trPr>
        <w:tc>
          <w:tcPr>
            <w:tcW w:w="647" w:type="dxa"/>
            <w:vAlign w:val="center"/>
          </w:tcPr>
          <w:p w14:paraId="0E25AAC1" w14:textId="77777777" w:rsidR="00E62660" w:rsidRDefault="00E62660" w:rsidP="00AC1371">
            <w:pPr>
              <w:spacing w:line="276" w:lineRule="auto"/>
            </w:pPr>
            <w:r>
              <w:lastRenderedPageBreak/>
              <w:t>13</w:t>
            </w:r>
          </w:p>
        </w:tc>
        <w:tc>
          <w:tcPr>
            <w:tcW w:w="4856" w:type="dxa"/>
            <w:vAlign w:val="center"/>
          </w:tcPr>
          <w:p w14:paraId="561473DF" w14:textId="77777777" w:rsidR="00E62660" w:rsidRDefault="00221C7E" w:rsidP="00AC1371">
            <w:pPr>
              <w:spacing w:after="60" w:line="276" w:lineRule="auto"/>
            </w:pPr>
            <w:r>
              <w:t xml:space="preserve">Please insert any other comments you wish to provide </w:t>
            </w:r>
          </w:p>
        </w:tc>
        <w:tc>
          <w:tcPr>
            <w:tcW w:w="4392" w:type="dxa"/>
            <w:vAlign w:val="center"/>
          </w:tcPr>
          <w:p w14:paraId="69AE0FF8" w14:textId="77777777" w:rsidR="00E62660" w:rsidRDefault="00E62660" w:rsidP="00AC1371">
            <w:pPr>
              <w:spacing w:line="276" w:lineRule="auto"/>
            </w:pPr>
          </w:p>
        </w:tc>
      </w:tr>
    </w:tbl>
    <w:p w14:paraId="19028D07" w14:textId="77777777" w:rsidR="003D1857" w:rsidRDefault="003D1857">
      <w:pPr>
        <w:rPr>
          <w:rFonts w:asciiTheme="majorHAnsi" w:eastAsiaTheme="majorEastAsia" w:hAnsiTheme="majorHAnsi" w:cstheme="majorBidi"/>
          <w:color w:val="2E74B5" w:themeColor="accent1" w:themeShade="BF"/>
          <w:sz w:val="32"/>
          <w:szCs w:val="32"/>
        </w:rPr>
      </w:pPr>
    </w:p>
    <w:sectPr w:rsidR="003D1857" w:rsidSect="00D43A65">
      <w:headerReference w:type="default" r:id="rId26"/>
      <w:footerReference w:type="default" r:id="rId27"/>
      <w:headerReference w:type="first" r:id="rId28"/>
      <w:footerReference w:type="first" r:id="rId29"/>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ACB73" w14:textId="77777777" w:rsidR="00F91326" w:rsidRDefault="00F91326" w:rsidP="00910C5D">
      <w:pPr>
        <w:spacing w:after="0" w:line="240" w:lineRule="auto"/>
      </w:pPr>
      <w:r>
        <w:separator/>
      </w:r>
    </w:p>
  </w:endnote>
  <w:endnote w:type="continuationSeparator" w:id="0">
    <w:p w14:paraId="3446F921" w14:textId="77777777" w:rsidR="00F91326" w:rsidRDefault="00F91326" w:rsidP="00910C5D">
      <w:pPr>
        <w:spacing w:after="0" w:line="240" w:lineRule="auto"/>
      </w:pPr>
      <w:r>
        <w:continuationSeparator/>
      </w:r>
    </w:p>
  </w:endnote>
  <w:endnote w:type="continuationNotice" w:id="1">
    <w:p w14:paraId="4CB2DDEE" w14:textId="77777777" w:rsidR="00F91326" w:rsidRDefault="00F913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6440" w14:textId="77777777" w:rsidR="00F91326" w:rsidRPr="00910C5D" w:rsidRDefault="00F91326">
    <w:pPr>
      <w:pStyle w:val="Footer"/>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F91326" w:rsidRPr="001630DD" w14:paraId="0899434D" w14:textId="77777777" w:rsidTr="00D859DA">
      <w:tc>
        <w:tcPr>
          <w:tcW w:w="3005" w:type="dxa"/>
          <w:shd w:val="clear" w:color="auto" w:fill="auto"/>
        </w:tcPr>
        <w:p w14:paraId="4911BB93" w14:textId="77777777" w:rsidR="00F91326" w:rsidRPr="001630DD" w:rsidRDefault="00F91326" w:rsidP="00B24903">
          <w:pPr>
            <w:pStyle w:val="Footer"/>
            <w:rPr>
              <w:color w:val="000000" w:themeColor="text1"/>
              <w:sz w:val="18"/>
            </w:rPr>
          </w:pPr>
          <w:r w:rsidRPr="001630DD">
            <w:rPr>
              <w:color w:val="000000" w:themeColor="text1"/>
              <w:sz w:val="18"/>
            </w:rPr>
            <w:t>©ANNA DSB 201</w:t>
          </w:r>
          <w:r>
            <w:rPr>
              <w:color w:val="000000" w:themeColor="text1"/>
              <w:sz w:val="18"/>
            </w:rPr>
            <w:t>8</w:t>
          </w:r>
        </w:p>
      </w:tc>
      <w:tc>
        <w:tcPr>
          <w:tcW w:w="3005" w:type="dxa"/>
          <w:shd w:val="clear" w:color="auto" w:fill="auto"/>
        </w:tcPr>
        <w:p w14:paraId="4855C574" w14:textId="77777777" w:rsidR="00F91326" w:rsidRPr="001630DD" w:rsidRDefault="00F91326" w:rsidP="001630DD">
          <w:pPr>
            <w:pStyle w:val="Footer"/>
            <w:jc w:val="center"/>
            <w:rPr>
              <w:color w:val="000000" w:themeColor="text1"/>
              <w:sz w:val="18"/>
            </w:rPr>
          </w:pPr>
          <w:r>
            <w:rPr>
              <w:color w:val="000000" w:themeColor="text1"/>
              <w:sz w:val="18"/>
            </w:rPr>
            <w:t>Consultation Paper 2 – response deadline is 5pm UTC on 27</w:t>
          </w:r>
          <w:r w:rsidRPr="00B24903">
            <w:rPr>
              <w:color w:val="000000" w:themeColor="text1"/>
              <w:sz w:val="18"/>
              <w:vertAlign w:val="superscript"/>
            </w:rPr>
            <w:t>th</w:t>
          </w:r>
          <w:r>
            <w:rPr>
              <w:color w:val="000000" w:themeColor="text1"/>
              <w:sz w:val="18"/>
            </w:rPr>
            <w:t xml:space="preserve"> July 2018 </w:t>
          </w:r>
        </w:p>
      </w:tc>
      <w:tc>
        <w:tcPr>
          <w:tcW w:w="3006" w:type="dxa"/>
          <w:shd w:val="clear" w:color="auto" w:fill="auto"/>
        </w:tcPr>
        <w:p w14:paraId="1D84BED2" w14:textId="1C516869" w:rsidR="00F91326" w:rsidRPr="001630DD" w:rsidRDefault="00F91326" w:rsidP="001630DD">
          <w:pPr>
            <w:pStyle w:val="Footer"/>
            <w:jc w:val="right"/>
            <w:rPr>
              <w:color w:val="000000" w:themeColor="text1"/>
              <w:sz w:val="18"/>
            </w:rPr>
          </w:pPr>
          <w:r w:rsidRPr="001630DD">
            <w:rPr>
              <w:color w:val="000000" w:themeColor="text1"/>
              <w:sz w:val="18"/>
            </w:rPr>
            <w:t xml:space="preserve">Page | </w:t>
          </w:r>
          <w:r w:rsidRPr="001630DD">
            <w:rPr>
              <w:color w:val="000000" w:themeColor="text1"/>
              <w:sz w:val="18"/>
            </w:rPr>
            <w:fldChar w:fldCharType="begin"/>
          </w:r>
          <w:r w:rsidRPr="001630DD">
            <w:rPr>
              <w:color w:val="000000" w:themeColor="text1"/>
              <w:sz w:val="18"/>
            </w:rPr>
            <w:instrText xml:space="preserve"> PAGE   \* MERGEFORMAT </w:instrText>
          </w:r>
          <w:r w:rsidRPr="001630DD">
            <w:rPr>
              <w:color w:val="000000" w:themeColor="text1"/>
              <w:sz w:val="18"/>
            </w:rPr>
            <w:fldChar w:fldCharType="separate"/>
          </w:r>
          <w:r w:rsidR="00572120">
            <w:rPr>
              <w:noProof/>
              <w:color w:val="000000" w:themeColor="text1"/>
              <w:sz w:val="18"/>
            </w:rPr>
            <w:t>32</w:t>
          </w:r>
          <w:r w:rsidRPr="001630DD">
            <w:rPr>
              <w:noProof/>
              <w:color w:val="000000" w:themeColor="text1"/>
              <w:sz w:val="18"/>
            </w:rPr>
            <w:fldChar w:fldCharType="end"/>
          </w:r>
        </w:p>
      </w:tc>
    </w:tr>
  </w:tbl>
  <w:p w14:paraId="7AB79F9C" w14:textId="77777777" w:rsidR="00F91326" w:rsidRDefault="00F91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F91326" w14:paraId="35E7C764" w14:textId="77777777" w:rsidTr="75828AE8">
      <w:tc>
        <w:tcPr>
          <w:tcW w:w="3009" w:type="dxa"/>
        </w:tcPr>
        <w:p w14:paraId="7B47EBAF" w14:textId="77777777" w:rsidR="00F91326" w:rsidRDefault="00F91326" w:rsidP="75828AE8">
          <w:pPr>
            <w:pStyle w:val="Header"/>
            <w:ind w:left="-115"/>
          </w:pPr>
        </w:p>
      </w:tc>
      <w:tc>
        <w:tcPr>
          <w:tcW w:w="3009" w:type="dxa"/>
        </w:tcPr>
        <w:p w14:paraId="112988BF" w14:textId="77777777" w:rsidR="00F91326" w:rsidRDefault="00F91326" w:rsidP="75828AE8">
          <w:pPr>
            <w:pStyle w:val="Header"/>
            <w:jc w:val="center"/>
          </w:pPr>
        </w:p>
      </w:tc>
      <w:tc>
        <w:tcPr>
          <w:tcW w:w="3009" w:type="dxa"/>
        </w:tcPr>
        <w:p w14:paraId="016FB7B8" w14:textId="77777777" w:rsidR="00F91326" w:rsidRDefault="00F91326" w:rsidP="75828AE8">
          <w:pPr>
            <w:pStyle w:val="Header"/>
            <w:ind w:right="-115"/>
            <w:jc w:val="right"/>
          </w:pPr>
        </w:p>
      </w:tc>
    </w:tr>
  </w:tbl>
  <w:p w14:paraId="17D90DFD" w14:textId="77777777" w:rsidR="00F91326" w:rsidRDefault="00F91326" w:rsidP="75828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85C11" w14:textId="77777777" w:rsidR="00F91326" w:rsidRDefault="00F91326" w:rsidP="00910C5D">
      <w:pPr>
        <w:spacing w:after="0" w:line="240" w:lineRule="auto"/>
      </w:pPr>
      <w:r>
        <w:separator/>
      </w:r>
    </w:p>
  </w:footnote>
  <w:footnote w:type="continuationSeparator" w:id="0">
    <w:p w14:paraId="59201CA4" w14:textId="77777777" w:rsidR="00F91326" w:rsidRDefault="00F91326" w:rsidP="00910C5D">
      <w:pPr>
        <w:spacing w:after="0" w:line="240" w:lineRule="auto"/>
      </w:pPr>
      <w:r>
        <w:continuationSeparator/>
      </w:r>
    </w:p>
  </w:footnote>
  <w:footnote w:type="continuationNotice" w:id="1">
    <w:p w14:paraId="1B07358D" w14:textId="77777777" w:rsidR="00F91326" w:rsidRDefault="00F91326">
      <w:pPr>
        <w:spacing w:after="0" w:line="240" w:lineRule="auto"/>
      </w:pPr>
    </w:p>
  </w:footnote>
  <w:footnote w:id="2">
    <w:p w14:paraId="658A8EF3" w14:textId="77777777" w:rsidR="00F91326" w:rsidRDefault="00F91326" w:rsidP="005048F6">
      <w:pPr>
        <w:pStyle w:val="FootnoteText"/>
      </w:pPr>
      <w:r>
        <w:rPr>
          <w:rStyle w:val="FootnoteReference"/>
        </w:rPr>
        <w:footnoteRef/>
      </w:r>
      <w:r>
        <w:t xml:space="preserve"> As defined in MiFIR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F91326" w14:paraId="42E97AE0" w14:textId="77777777" w:rsidTr="75828AE8">
      <w:tc>
        <w:tcPr>
          <w:tcW w:w="3009" w:type="dxa"/>
        </w:tcPr>
        <w:p w14:paraId="074C48D5" w14:textId="77777777" w:rsidR="00F91326" w:rsidRDefault="00F91326" w:rsidP="75828AE8">
          <w:pPr>
            <w:pStyle w:val="Header"/>
            <w:ind w:left="-115"/>
          </w:pPr>
        </w:p>
      </w:tc>
      <w:tc>
        <w:tcPr>
          <w:tcW w:w="3009" w:type="dxa"/>
        </w:tcPr>
        <w:p w14:paraId="1492D279" w14:textId="77777777" w:rsidR="00F91326" w:rsidRDefault="00F91326" w:rsidP="75828AE8">
          <w:pPr>
            <w:pStyle w:val="Header"/>
            <w:jc w:val="center"/>
          </w:pPr>
        </w:p>
      </w:tc>
      <w:tc>
        <w:tcPr>
          <w:tcW w:w="3009" w:type="dxa"/>
        </w:tcPr>
        <w:p w14:paraId="5FA11D2F" w14:textId="77777777" w:rsidR="00F91326" w:rsidRDefault="00F91326" w:rsidP="75828AE8">
          <w:pPr>
            <w:pStyle w:val="Header"/>
            <w:ind w:right="-115"/>
            <w:jc w:val="right"/>
          </w:pPr>
        </w:p>
      </w:tc>
    </w:tr>
  </w:tbl>
  <w:p w14:paraId="121BC54F" w14:textId="77777777" w:rsidR="00F91326" w:rsidRDefault="00F91326" w:rsidP="75828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09"/>
      <w:gridCol w:w="3009"/>
      <w:gridCol w:w="3009"/>
    </w:tblGrid>
    <w:tr w:rsidR="00F91326" w14:paraId="7896829F" w14:textId="77777777" w:rsidTr="75828AE8">
      <w:tc>
        <w:tcPr>
          <w:tcW w:w="3009" w:type="dxa"/>
        </w:tcPr>
        <w:p w14:paraId="6859A3F3" w14:textId="77777777" w:rsidR="00F91326" w:rsidRDefault="00F91326" w:rsidP="75828AE8">
          <w:pPr>
            <w:pStyle w:val="Header"/>
            <w:ind w:left="-115"/>
          </w:pPr>
        </w:p>
      </w:tc>
      <w:tc>
        <w:tcPr>
          <w:tcW w:w="3009" w:type="dxa"/>
        </w:tcPr>
        <w:p w14:paraId="51F38801" w14:textId="77777777" w:rsidR="00F91326" w:rsidRDefault="00F91326" w:rsidP="75828AE8">
          <w:pPr>
            <w:pStyle w:val="Header"/>
            <w:jc w:val="center"/>
          </w:pPr>
        </w:p>
      </w:tc>
      <w:tc>
        <w:tcPr>
          <w:tcW w:w="3009" w:type="dxa"/>
        </w:tcPr>
        <w:p w14:paraId="06B56954" w14:textId="77777777" w:rsidR="00F91326" w:rsidRDefault="00F91326" w:rsidP="75828AE8">
          <w:pPr>
            <w:pStyle w:val="Header"/>
            <w:ind w:right="-115"/>
            <w:jc w:val="right"/>
          </w:pPr>
        </w:p>
      </w:tc>
    </w:tr>
  </w:tbl>
  <w:p w14:paraId="411DF610" w14:textId="77777777" w:rsidR="00F91326" w:rsidRDefault="00F91326" w:rsidP="75828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457"/>
    <w:multiLevelType w:val="hybridMultilevel"/>
    <w:tmpl w:val="027A7DD2"/>
    <w:lvl w:ilvl="0" w:tplc="0809001B">
      <w:start w:val="1"/>
      <w:numFmt w:val="lowerRoman"/>
      <w:lvlText w:val="%1."/>
      <w:lvlJc w:val="right"/>
      <w:pPr>
        <w:ind w:left="126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C5903"/>
    <w:multiLevelType w:val="multilevel"/>
    <w:tmpl w:val="F7122740"/>
    <w:lvl w:ilvl="0">
      <w:start w:val="1"/>
      <w:numFmt w:val="decimal"/>
      <w:pStyle w:val="Heading1"/>
      <w:lvlText w:val="%1"/>
      <w:lvlJc w:val="left"/>
      <w:pPr>
        <w:ind w:left="52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38D5F01"/>
    <w:multiLevelType w:val="hybridMultilevel"/>
    <w:tmpl w:val="E75E8654"/>
    <w:lvl w:ilvl="0" w:tplc="0809001B">
      <w:start w:val="1"/>
      <w:numFmt w:val="lowerRoman"/>
      <w:lvlText w:val="%1."/>
      <w:lvlJc w:val="right"/>
      <w:pPr>
        <w:ind w:left="90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0679792C"/>
    <w:multiLevelType w:val="hybridMultilevel"/>
    <w:tmpl w:val="1D06DD26"/>
    <w:lvl w:ilvl="0" w:tplc="B07631F6">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83032"/>
    <w:multiLevelType w:val="hybridMultilevel"/>
    <w:tmpl w:val="FDB0E92C"/>
    <w:lvl w:ilvl="0" w:tplc="0809000F">
      <w:start w:val="1"/>
      <w:numFmt w:val="decimal"/>
      <w:lvlText w:val="%1."/>
      <w:lvlJc w:val="left"/>
      <w:pPr>
        <w:ind w:left="360" w:hanging="360"/>
      </w:pPr>
      <w:rPr>
        <w:rFonts w:hint="default"/>
      </w:rPr>
    </w:lvl>
    <w:lvl w:ilvl="1" w:tplc="08090013">
      <w:start w:val="1"/>
      <w:numFmt w:val="upp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7255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9C7912"/>
    <w:multiLevelType w:val="multilevel"/>
    <w:tmpl w:val="998C30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CFE2538"/>
    <w:multiLevelType w:val="hybridMultilevel"/>
    <w:tmpl w:val="302C83E2"/>
    <w:lvl w:ilvl="0" w:tplc="04090003">
      <w:start w:val="1"/>
      <w:numFmt w:val="bullet"/>
      <w:lvlText w:val="o"/>
      <w:lvlJc w:val="left"/>
      <w:pPr>
        <w:ind w:left="180" w:hanging="180"/>
      </w:pPr>
      <w:rPr>
        <w:rFonts w:ascii="Courier New" w:hAnsi="Courier New" w:cs="Courier New"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 w15:restartNumberingAfterBreak="0">
    <w:nsid w:val="0E145434"/>
    <w:multiLevelType w:val="hybridMultilevel"/>
    <w:tmpl w:val="3DB47648"/>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AD05A5"/>
    <w:multiLevelType w:val="hybridMultilevel"/>
    <w:tmpl w:val="FDB0E92C"/>
    <w:lvl w:ilvl="0" w:tplc="0809000F">
      <w:start w:val="1"/>
      <w:numFmt w:val="decimal"/>
      <w:lvlText w:val="%1."/>
      <w:lvlJc w:val="left"/>
      <w:pPr>
        <w:ind w:left="360" w:hanging="360"/>
      </w:pPr>
      <w:rPr>
        <w:rFonts w:hint="default"/>
      </w:rPr>
    </w:lvl>
    <w:lvl w:ilvl="1" w:tplc="08090013">
      <w:start w:val="1"/>
      <w:numFmt w:val="upp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09565DD"/>
    <w:multiLevelType w:val="hybridMultilevel"/>
    <w:tmpl w:val="4C70DED4"/>
    <w:lvl w:ilvl="0" w:tplc="0809001B">
      <w:start w:val="1"/>
      <w:numFmt w:val="lowerRoman"/>
      <w:lvlText w:val="%1."/>
      <w:lvlJc w:val="right"/>
      <w:pPr>
        <w:ind w:left="1260" w:hanging="18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DE17A4"/>
    <w:multiLevelType w:val="hybridMultilevel"/>
    <w:tmpl w:val="0982FA2A"/>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4786806"/>
    <w:multiLevelType w:val="hybridMultilevel"/>
    <w:tmpl w:val="249E0E7C"/>
    <w:lvl w:ilvl="0" w:tplc="08090017">
      <w:start w:val="1"/>
      <w:numFmt w:val="lowerLetter"/>
      <w:lvlText w:val="%1)"/>
      <w:lvlJc w:val="left"/>
      <w:pPr>
        <w:ind w:left="6" w:hanging="360"/>
      </w:pPr>
      <w:rPr>
        <w:rFonts w:hint="default"/>
      </w:rPr>
    </w:lvl>
    <w:lvl w:ilvl="1" w:tplc="08090003">
      <w:start w:val="1"/>
      <w:numFmt w:val="bullet"/>
      <w:lvlText w:val="o"/>
      <w:lvlJc w:val="left"/>
      <w:pPr>
        <w:ind w:left="726" w:hanging="360"/>
      </w:pPr>
      <w:rPr>
        <w:rFonts w:ascii="Courier New" w:hAnsi="Courier New" w:cs="Courier New" w:hint="default"/>
      </w:rPr>
    </w:lvl>
    <w:lvl w:ilvl="2" w:tplc="08090003">
      <w:start w:val="1"/>
      <w:numFmt w:val="bullet"/>
      <w:lvlText w:val="o"/>
      <w:lvlJc w:val="left"/>
      <w:pPr>
        <w:ind w:left="1446" w:hanging="180"/>
      </w:pPr>
      <w:rPr>
        <w:rFonts w:ascii="Courier New" w:hAnsi="Courier New" w:cs="Courier New" w:hint="default"/>
      </w:r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3" w15:restartNumberingAfterBreak="0">
    <w:nsid w:val="14B04D27"/>
    <w:multiLevelType w:val="hybridMultilevel"/>
    <w:tmpl w:val="456CAF36"/>
    <w:lvl w:ilvl="0" w:tplc="0809001B">
      <w:start w:val="1"/>
      <w:numFmt w:val="lowerRoman"/>
      <w:lvlText w:val="%1."/>
      <w:lvlJc w:val="right"/>
      <w:pPr>
        <w:ind w:left="90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4" w15:restartNumberingAfterBreak="0">
    <w:nsid w:val="163C28D3"/>
    <w:multiLevelType w:val="hybridMultilevel"/>
    <w:tmpl w:val="AF4C8A4E"/>
    <w:lvl w:ilvl="0" w:tplc="08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7387E1D"/>
    <w:multiLevelType w:val="hybridMultilevel"/>
    <w:tmpl w:val="701ECD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9324DBD"/>
    <w:multiLevelType w:val="hybridMultilevel"/>
    <w:tmpl w:val="0982FA2A"/>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A5B3C50"/>
    <w:multiLevelType w:val="hybridMultilevel"/>
    <w:tmpl w:val="456CAF36"/>
    <w:lvl w:ilvl="0" w:tplc="0809001B">
      <w:start w:val="1"/>
      <w:numFmt w:val="lowerRoman"/>
      <w:lvlText w:val="%1."/>
      <w:lvlJc w:val="right"/>
      <w:pPr>
        <w:ind w:left="90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8" w15:restartNumberingAfterBreak="0">
    <w:nsid w:val="1C8A237F"/>
    <w:multiLevelType w:val="hybridMultilevel"/>
    <w:tmpl w:val="477CDB5E"/>
    <w:lvl w:ilvl="0" w:tplc="E128817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F96363"/>
    <w:multiLevelType w:val="hybridMultilevel"/>
    <w:tmpl w:val="977CE9BC"/>
    <w:lvl w:ilvl="0" w:tplc="04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AD5796"/>
    <w:multiLevelType w:val="hybridMultilevel"/>
    <w:tmpl w:val="5D449200"/>
    <w:lvl w:ilvl="0" w:tplc="0409001B">
      <w:start w:val="1"/>
      <w:numFmt w:val="lowerRoman"/>
      <w:lvlText w:val="%1."/>
      <w:lvlJc w:val="right"/>
      <w:pPr>
        <w:ind w:left="717" w:hanging="360"/>
      </w:pPr>
      <w:rPr>
        <w:rFonts w:hint="default"/>
      </w:rPr>
    </w:lvl>
    <w:lvl w:ilvl="1" w:tplc="04090017">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1" w15:restartNumberingAfterBreak="0">
    <w:nsid w:val="235D4D0F"/>
    <w:multiLevelType w:val="hybridMultilevel"/>
    <w:tmpl w:val="456CAF36"/>
    <w:lvl w:ilvl="0" w:tplc="0809001B">
      <w:start w:val="1"/>
      <w:numFmt w:val="lowerRoman"/>
      <w:lvlText w:val="%1."/>
      <w:lvlJc w:val="right"/>
      <w:pPr>
        <w:ind w:left="90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2" w15:restartNumberingAfterBreak="0">
    <w:nsid w:val="23DE44D4"/>
    <w:multiLevelType w:val="hybridMultilevel"/>
    <w:tmpl w:val="FDB0E92C"/>
    <w:lvl w:ilvl="0" w:tplc="0809000F">
      <w:start w:val="1"/>
      <w:numFmt w:val="decimal"/>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3E44D0"/>
    <w:multiLevelType w:val="hybridMultilevel"/>
    <w:tmpl w:val="456CAF36"/>
    <w:lvl w:ilvl="0" w:tplc="0809001B">
      <w:start w:val="1"/>
      <w:numFmt w:val="lowerRoman"/>
      <w:lvlText w:val="%1."/>
      <w:lvlJc w:val="right"/>
      <w:pPr>
        <w:ind w:left="90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4" w15:restartNumberingAfterBreak="0">
    <w:nsid w:val="27F7792D"/>
    <w:multiLevelType w:val="hybridMultilevel"/>
    <w:tmpl w:val="71BE14A8"/>
    <w:lvl w:ilvl="0" w:tplc="A36611C0">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9765E1A"/>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6" w15:restartNumberingAfterBreak="0">
    <w:nsid w:val="2AD84D2A"/>
    <w:multiLevelType w:val="hybridMultilevel"/>
    <w:tmpl w:val="DFE62AA6"/>
    <w:lvl w:ilvl="0" w:tplc="0809001B">
      <w:start w:val="1"/>
      <w:numFmt w:val="lowerRoman"/>
      <w:lvlText w:val="%1."/>
      <w:lvlJc w:val="righ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BD120B0"/>
    <w:multiLevelType w:val="hybridMultilevel"/>
    <w:tmpl w:val="5E961794"/>
    <w:lvl w:ilvl="0" w:tplc="08090017">
      <w:start w:val="1"/>
      <w:numFmt w:val="lowerLetter"/>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8" w15:restartNumberingAfterBreak="0">
    <w:nsid w:val="2DC81CD9"/>
    <w:multiLevelType w:val="hybridMultilevel"/>
    <w:tmpl w:val="E75E8654"/>
    <w:lvl w:ilvl="0" w:tplc="0809001B">
      <w:start w:val="1"/>
      <w:numFmt w:val="lowerRoman"/>
      <w:lvlText w:val="%1."/>
      <w:lvlJc w:val="right"/>
      <w:pPr>
        <w:ind w:left="90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9" w15:restartNumberingAfterBreak="0">
    <w:nsid w:val="2EF41462"/>
    <w:multiLevelType w:val="hybridMultilevel"/>
    <w:tmpl w:val="B6CAECC2"/>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0974D7F"/>
    <w:multiLevelType w:val="hybridMultilevel"/>
    <w:tmpl w:val="AE7ECA4C"/>
    <w:lvl w:ilvl="0" w:tplc="08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0DF1F97"/>
    <w:multiLevelType w:val="hybridMultilevel"/>
    <w:tmpl w:val="456CAF36"/>
    <w:lvl w:ilvl="0" w:tplc="0809001B">
      <w:start w:val="1"/>
      <w:numFmt w:val="lowerRoman"/>
      <w:lvlText w:val="%1."/>
      <w:lvlJc w:val="right"/>
      <w:pPr>
        <w:ind w:left="90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2" w15:restartNumberingAfterBreak="0">
    <w:nsid w:val="30ED3C19"/>
    <w:multiLevelType w:val="hybridMultilevel"/>
    <w:tmpl w:val="456CAF36"/>
    <w:lvl w:ilvl="0" w:tplc="0809001B">
      <w:start w:val="1"/>
      <w:numFmt w:val="lowerRoman"/>
      <w:lvlText w:val="%1."/>
      <w:lvlJc w:val="right"/>
      <w:pPr>
        <w:ind w:left="90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3" w15:restartNumberingAfterBreak="0">
    <w:nsid w:val="31153CB2"/>
    <w:multiLevelType w:val="hybridMultilevel"/>
    <w:tmpl w:val="9D88E30C"/>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70618ED"/>
    <w:multiLevelType w:val="hybridMultilevel"/>
    <w:tmpl w:val="7D3E50EA"/>
    <w:lvl w:ilvl="0" w:tplc="551A4C2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C46E00"/>
    <w:multiLevelType w:val="hybridMultilevel"/>
    <w:tmpl w:val="91723AC0"/>
    <w:lvl w:ilvl="0" w:tplc="08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8F664A3"/>
    <w:multiLevelType w:val="hybridMultilevel"/>
    <w:tmpl w:val="0982FA2A"/>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39215DFE"/>
    <w:multiLevelType w:val="hybridMultilevel"/>
    <w:tmpl w:val="DD64038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E2F4FE5"/>
    <w:multiLevelType w:val="hybridMultilevel"/>
    <w:tmpl w:val="977CE9BC"/>
    <w:lvl w:ilvl="0" w:tplc="04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B53797"/>
    <w:multiLevelType w:val="hybridMultilevel"/>
    <w:tmpl w:val="CBBEC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AB7D36"/>
    <w:multiLevelType w:val="hybridMultilevel"/>
    <w:tmpl w:val="9D88E30C"/>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42DF215D"/>
    <w:multiLevelType w:val="hybridMultilevel"/>
    <w:tmpl w:val="977CE9BC"/>
    <w:lvl w:ilvl="0" w:tplc="04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56C0FCB"/>
    <w:multiLevelType w:val="hybridMultilevel"/>
    <w:tmpl w:val="26F841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FC1FF3"/>
    <w:multiLevelType w:val="hybridMultilevel"/>
    <w:tmpl w:val="FDB0E92C"/>
    <w:lvl w:ilvl="0" w:tplc="0809000F">
      <w:start w:val="1"/>
      <w:numFmt w:val="decimal"/>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7E1379A"/>
    <w:multiLevelType w:val="hybridMultilevel"/>
    <w:tmpl w:val="977CE9BC"/>
    <w:lvl w:ilvl="0" w:tplc="04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2856AD"/>
    <w:multiLevelType w:val="hybridMultilevel"/>
    <w:tmpl w:val="977CE9BC"/>
    <w:lvl w:ilvl="0" w:tplc="04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1BB2D0F"/>
    <w:multiLevelType w:val="hybridMultilevel"/>
    <w:tmpl w:val="DD64038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54272349"/>
    <w:multiLevelType w:val="hybridMultilevel"/>
    <w:tmpl w:val="DFE62AA6"/>
    <w:lvl w:ilvl="0" w:tplc="0809001B">
      <w:start w:val="1"/>
      <w:numFmt w:val="lowerRoman"/>
      <w:lvlText w:val="%1."/>
      <w:lvlJc w:val="righ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4713D9A"/>
    <w:multiLevelType w:val="hybridMultilevel"/>
    <w:tmpl w:val="DD64038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5529424E"/>
    <w:multiLevelType w:val="hybridMultilevel"/>
    <w:tmpl w:val="9D88E30C"/>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59350736"/>
    <w:multiLevelType w:val="hybridMultilevel"/>
    <w:tmpl w:val="E98A03B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59914CB1"/>
    <w:multiLevelType w:val="hybridMultilevel"/>
    <w:tmpl w:val="EDD239FE"/>
    <w:lvl w:ilvl="0" w:tplc="0809000F">
      <w:start w:val="1"/>
      <w:numFmt w:val="decimal"/>
      <w:lvlText w:val="%1."/>
      <w:lvlJc w:val="left"/>
      <w:pPr>
        <w:ind w:left="717" w:hanging="360"/>
      </w:pPr>
      <w:rPr>
        <w:rFonts w:hint="default"/>
      </w:rPr>
    </w:lvl>
    <w:lvl w:ilvl="1" w:tplc="04090017">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2" w15:restartNumberingAfterBreak="0">
    <w:nsid w:val="5AC573DD"/>
    <w:multiLevelType w:val="hybridMultilevel"/>
    <w:tmpl w:val="FDB0E92C"/>
    <w:lvl w:ilvl="0" w:tplc="0809000F">
      <w:start w:val="1"/>
      <w:numFmt w:val="decimal"/>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C0C76EB"/>
    <w:multiLevelType w:val="hybridMultilevel"/>
    <w:tmpl w:val="B27A86B4"/>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D6365EE"/>
    <w:multiLevelType w:val="hybridMultilevel"/>
    <w:tmpl w:val="336E907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DD02E4B"/>
    <w:multiLevelType w:val="hybridMultilevel"/>
    <w:tmpl w:val="5D449200"/>
    <w:lvl w:ilvl="0" w:tplc="0409001B">
      <w:start w:val="1"/>
      <w:numFmt w:val="lowerRoman"/>
      <w:lvlText w:val="%1."/>
      <w:lvlJc w:val="right"/>
      <w:pPr>
        <w:ind w:left="717" w:hanging="360"/>
      </w:pPr>
      <w:rPr>
        <w:rFonts w:hint="default"/>
      </w:rPr>
    </w:lvl>
    <w:lvl w:ilvl="1" w:tplc="04090017">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6" w15:restartNumberingAfterBreak="0">
    <w:nsid w:val="5FA22025"/>
    <w:multiLevelType w:val="hybridMultilevel"/>
    <w:tmpl w:val="B57CD96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62867DB7"/>
    <w:multiLevelType w:val="hybridMultilevel"/>
    <w:tmpl w:val="456CAF36"/>
    <w:lvl w:ilvl="0" w:tplc="0809001B">
      <w:start w:val="1"/>
      <w:numFmt w:val="lowerRoman"/>
      <w:lvlText w:val="%1."/>
      <w:lvlJc w:val="right"/>
      <w:pPr>
        <w:ind w:left="90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8" w15:restartNumberingAfterBreak="0">
    <w:nsid w:val="63E810C9"/>
    <w:multiLevelType w:val="hybridMultilevel"/>
    <w:tmpl w:val="3BE08222"/>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65012767"/>
    <w:multiLevelType w:val="hybridMultilevel"/>
    <w:tmpl w:val="8AD6DE5A"/>
    <w:lvl w:ilvl="0" w:tplc="08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8A97449"/>
    <w:multiLevelType w:val="hybridMultilevel"/>
    <w:tmpl w:val="A9A8248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B086D02"/>
    <w:multiLevelType w:val="hybridMultilevel"/>
    <w:tmpl w:val="977CE9BC"/>
    <w:lvl w:ilvl="0" w:tplc="04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CA842DB"/>
    <w:multiLevelType w:val="hybridMultilevel"/>
    <w:tmpl w:val="05BE9ABC"/>
    <w:lvl w:ilvl="0" w:tplc="04090003">
      <w:start w:val="1"/>
      <w:numFmt w:val="bullet"/>
      <w:lvlText w:val="o"/>
      <w:lvlJc w:val="left"/>
      <w:pPr>
        <w:ind w:left="900" w:hanging="180"/>
      </w:pPr>
      <w:rPr>
        <w:rFonts w:ascii="Courier New" w:hAnsi="Courier New" w:cs="Courier New"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3" w15:restartNumberingAfterBreak="0">
    <w:nsid w:val="711A3144"/>
    <w:multiLevelType w:val="hybridMultilevel"/>
    <w:tmpl w:val="977CE9BC"/>
    <w:lvl w:ilvl="0" w:tplc="04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3F12D91"/>
    <w:multiLevelType w:val="hybridMultilevel"/>
    <w:tmpl w:val="B0D0ADCC"/>
    <w:lvl w:ilvl="0" w:tplc="04090005">
      <w:start w:val="1"/>
      <w:numFmt w:val="bullet"/>
      <w:lvlText w:val=""/>
      <w:lvlJc w:val="left"/>
      <w:pPr>
        <w:ind w:left="769" w:hanging="360"/>
      </w:pPr>
      <w:rPr>
        <w:rFonts w:ascii="Wingdings" w:hAnsi="Wingdings" w:hint="default"/>
      </w:rPr>
    </w:lvl>
    <w:lvl w:ilvl="1" w:tplc="08090003">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65" w15:restartNumberingAfterBreak="0">
    <w:nsid w:val="74232631"/>
    <w:multiLevelType w:val="hybridMultilevel"/>
    <w:tmpl w:val="977CE9BC"/>
    <w:lvl w:ilvl="0" w:tplc="04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5C855D0"/>
    <w:multiLevelType w:val="hybridMultilevel"/>
    <w:tmpl w:val="456CAF36"/>
    <w:lvl w:ilvl="0" w:tplc="0809001B">
      <w:start w:val="1"/>
      <w:numFmt w:val="lowerRoman"/>
      <w:lvlText w:val="%1."/>
      <w:lvlJc w:val="right"/>
      <w:pPr>
        <w:ind w:left="90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7" w15:restartNumberingAfterBreak="0">
    <w:nsid w:val="766D0383"/>
    <w:multiLevelType w:val="hybridMultilevel"/>
    <w:tmpl w:val="9D88E30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9"/>
  </w:num>
  <w:num w:numId="3">
    <w:abstractNumId w:val="15"/>
  </w:num>
  <w:num w:numId="4">
    <w:abstractNumId w:val="12"/>
  </w:num>
  <w:num w:numId="5">
    <w:abstractNumId w:val="9"/>
  </w:num>
  <w:num w:numId="6">
    <w:abstractNumId w:val="44"/>
  </w:num>
  <w:num w:numId="7">
    <w:abstractNumId w:val="58"/>
  </w:num>
  <w:num w:numId="8">
    <w:abstractNumId w:val="33"/>
  </w:num>
  <w:num w:numId="9">
    <w:abstractNumId w:val="40"/>
  </w:num>
  <w:num w:numId="10">
    <w:abstractNumId w:val="26"/>
  </w:num>
  <w:num w:numId="11">
    <w:abstractNumId w:val="47"/>
  </w:num>
  <w:num w:numId="12">
    <w:abstractNumId w:val="67"/>
  </w:num>
  <w:num w:numId="13">
    <w:abstractNumId w:val="49"/>
  </w:num>
  <w:num w:numId="14">
    <w:abstractNumId w:val="43"/>
  </w:num>
  <w:num w:numId="15">
    <w:abstractNumId w:val="52"/>
  </w:num>
  <w:num w:numId="16">
    <w:abstractNumId w:val="24"/>
  </w:num>
  <w:num w:numId="17">
    <w:abstractNumId w:val="22"/>
  </w:num>
  <w:num w:numId="18">
    <w:abstractNumId w:val="30"/>
  </w:num>
  <w:num w:numId="19">
    <w:abstractNumId w:val="59"/>
  </w:num>
  <w:num w:numId="20">
    <w:abstractNumId w:val="5"/>
  </w:num>
  <w:num w:numId="21">
    <w:abstractNumId w:val="6"/>
  </w:num>
  <w:num w:numId="22">
    <w:abstractNumId w:val="56"/>
  </w:num>
  <w:num w:numId="23">
    <w:abstractNumId w:val="25"/>
  </w:num>
  <w:num w:numId="24">
    <w:abstractNumId w:val="50"/>
  </w:num>
  <w:num w:numId="25">
    <w:abstractNumId w:val="48"/>
  </w:num>
  <w:num w:numId="26">
    <w:abstractNumId w:val="46"/>
  </w:num>
  <w:num w:numId="27">
    <w:abstractNumId w:val="37"/>
  </w:num>
  <w:num w:numId="28">
    <w:abstractNumId w:val="27"/>
  </w:num>
  <w:num w:numId="29">
    <w:abstractNumId w:val="29"/>
  </w:num>
  <w:num w:numId="30">
    <w:abstractNumId w:val="16"/>
  </w:num>
  <w:num w:numId="31">
    <w:abstractNumId w:val="51"/>
  </w:num>
  <w:num w:numId="32">
    <w:abstractNumId w:val="55"/>
  </w:num>
  <w:num w:numId="33">
    <w:abstractNumId w:val="18"/>
  </w:num>
  <w:num w:numId="34">
    <w:abstractNumId w:val="3"/>
  </w:num>
  <w:num w:numId="35">
    <w:abstractNumId w:val="4"/>
  </w:num>
  <w:num w:numId="36">
    <w:abstractNumId w:val="41"/>
  </w:num>
  <w:num w:numId="37">
    <w:abstractNumId w:val="8"/>
  </w:num>
  <w:num w:numId="38">
    <w:abstractNumId w:val="53"/>
  </w:num>
  <w:num w:numId="39">
    <w:abstractNumId w:val="54"/>
  </w:num>
  <w:num w:numId="40">
    <w:abstractNumId w:val="42"/>
  </w:num>
  <w:num w:numId="41">
    <w:abstractNumId w:val="11"/>
  </w:num>
  <w:num w:numId="42">
    <w:abstractNumId w:val="14"/>
  </w:num>
  <w:num w:numId="43">
    <w:abstractNumId w:val="34"/>
  </w:num>
  <w:num w:numId="44">
    <w:abstractNumId w:val="28"/>
  </w:num>
  <w:num w:numId="45">
    <w:abstractNumId w:val="23"/>
  </w:num>
  <w:num w:numId="46">
    <w:abstractNumId w:val="36"/>
  </w:num>
  <w:num w:numId="47">
    <w:abstractNumId w:val="63"/>
  </w:num>
  <w:num w:numId="48">
    <w:abstractNumId w:val="1"/>
  </w:num>
  <w:num w:numId="49">
    <w:abstractNumId w:val="21"/>
  </w:num>
  <w:num w:numId="50">
    <w:abstractNumId w:val="45"/>
  </w:num>
  <w:num w:numId="51">
    <w:abstractNumId w:val="61"/>
  </w:num>
  <w:num w:numId="52">
    <w:abstractNumId w:val="20"/>
  </w:num>
  <w:num w:numId="53">
    <w:abstractNumId w:val="10"/>
  </w:num>
  <w:num w:numId="54">
    <w:abstractNumId w:val="0"/>
  </w:num>
  <w:num w:numId="55">
    <w:abstractNumId w:val="32"/>
  </w:num>
  <w:num w:numId="56">
    <w:abstractNumId w:val="66"/>
  </w:num>
  <w:num w:numId="57">
    <w:abstractNumId w:val="57"/>
  </w:num>
  <w:num w:numId="58">
    <w:abstractNumId w:val="13"/>
  </w:num>
  <w:num w:numId="59">
    <w:abstractNumId w:val="7"/>
  </w:num>
  <w:num w:numId="60">
    <w:abstractNumId w:val="62"/>
  </w:num>
  <w:num w:numId="61">
    <w:abstractNumId w:val="2"/>
  </w:num>
  <w:num w:numId="62">
    <w:abstractNumId w:val="65"/>
  </w:num>
  <w:num w:numId="63">
    <w:abstractNumId w:val="60"/>
  </w:num>
  <w:num w:numId="64">
    <w:abstractNumId w:val="38"/>
  </w:num>
  <w:num w:numId="65">
    <w:abstractNumId w:val="35"/>
  </w:num>
  <w:num w:numId="66">
    <w:abstractNumId w:val="19"/>
  </w:num>
  <w:num w:numId="67">
    <w:abstractNumId w:val="64"/>
  </w:num>
  <w:num w:numId="68">
    <w:abstractNumId w:val="17"/>
  </w:num>
  <w:num w:numId="69">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998"/>
    <w:rsid w:val="000005EF"/>
    <w:rsid w:val="000007CC"/>
    <w:rsid w:val="0000263E"/>
    <w:rsid w:val="00003892"/>
    <w:rsid w:val="00003BC1"/>
    <w:rsid w:val="00003D99"/>
    <w:rsid w:val="000040A0"/>
    <w:rsid w:val="000055CC"/>
    <w:rsid w:val="00005CAE"/>
    <w:rsid w:val="00006FCE"/>
    <w:rsid w:val="0001027F"/>
    <w:rsid w:val="00010E86"/>
    <w:rsid w:val="00011F07"/>
    <w:rsid w:val="000122C2"/>
    <w:rsid w:val="0001439C"/>
    <w:rsid w:val="00014463"/>
    <w:rsid w:val="00015474"/>
    <w:rsid w:val="00016651"/>
    <w:rsid w:val="00016C39"/>
    <w:rsid w:val="00017437"/>
    <w:rsid w:val="00021D9A"/>
    <w:rsid w:val="00022DF6"/>
    <w:rsid w:val="00022E80"/>
    <w:rsid w:val="00024B18"/>
    <w:rsid w:val="000252C5"/>
    <w:rsid w:val="000257F5"/>
    <w:rsid w:val="00025B1B"/>
    <w:rsid w:val="00027539"/>
    <w:rsid w:val="00027909"/>
    <w:rsid w:val="00027B1B"/>
    <w:rsid w:val="0003043C"/>
    <w:rsid w:val="000308C8"/>
    <w:rsid w:val="0003247F"/>
    <w:rsid w:val="0003566A"/>
    <w:rsid w:val="00035C67"/>
    <w:rsid w:val="00035C76"/>
    <w:rsid w:val="00036712"/>
    <w:rsid w:val="000401D7"/>
    <w:rsid w:val="00040849"/>
    <w:rsid w:val="00041424"/>
    <w:rsid w:val="00041C11"/>
    <w:rsid w:val="00042820"/>
    <w:rsid w:val="0004320A"/>
    <w:rsid w:val="00044268"/>
    <w:rsid w:val="000443F3"/>
    <w:rsid w:val="00045004"/>
    <w:rsid w:val="00045DE0"/>
    <w:rsid w:val="00045FED"/>
    <w:rsid w:val="00046DA9"/>
    <w:rsid w:val="00046F1D"/>
    <w:rsid w:val="0004729A"/>
    <w:rsid w:val="000476D5"/>
    <w:rsid w:val="00050792"/>
    <w:rsid w:val="0005084A"/>
    <w:rsid w:val="000513CA"/>
    <w:rsid w:val="000522CF"/>
    <w:rsid w:val="000523FB"/>
    <w:rsid w:val="0005442F"/>
    <w:rsid w:val="00054B91"/>
    <w:rsid w:val="0005522E"/>
    <w:rsid w:val="0005653A"/>
    <w:rsid w:val="00056960"/>
    <w:rsid w:val="000575B1"/>
    <w:rsid w:val="00060F47"/>
    <w:rsid w:val="000611CC"/>
    <w:rsid w:val="000616E5"/>
    <w:rsid w:val="00062867"/>
    <w:rsid w:val="0006306D"/>
    <w:rsid w:val="00063963"/>
    <w:rsid w:val="000642F4"/>
    <w:rsid w:val="00066183"/>
    <w:rsid w:val="000663BC"/>
    <w:rsid w:val="000663DC"/>
    <w:rsid w:val="00066A0C"/>
    <w:rsid w:val="00066ADF"/>
    <w:rsid w:val="000678F1"/>
    <w:rsid w:val="00070355"/>
    <w:rsid w:val="000715F7"/>
    <w:rsid w:val="0007180E"/>
    <w:rsid w:val="00072687"/>
    <w:rsid w:val="00072931"/>
    <w:rsid w:val="00072FDA"/>
    <w:rsid w:val="00073AF4"/>
    <w:rsid w:val="00073D1E"/>
    <w:rsid w:val="000762D1"/>
    <w:rsid w:val="00076DBC"/>
    <w:rsid w:val="00080D4F"/>
    <w:rsid w:val="000830CA"/>
    <w:rsid w:val="0008338F"/>
    <w:rsid w:val="000850A4"/>
    <w:rsid w:val="000856BA"/>
    <w:rsid w:val="00086AD7"/>
    <w:rsid w:val="0008738A"/>
    <w:rsid w:val="0008750C"/>
    <w:rsid w:val="0009276F"/>
    <w:rsid w:val="00093554"/>
    <w:rsid w:val="00094399"/>
    <w:rsid w:val="0009653F"/>
    <w:rsid w:val="00097C98"/>
    <w:rsid w:val="000A0701"/>
    <w:rsid w:val="000A1409"/>
    <w:rsid w:val="000A29AC"/>
    <w:rsid w:val="000A32B5"/>
    <w:rsid w:val="000A4941"/>
    <w:rsid w:val="000A4D7D"/>
    <w:rsid w:val="000A56E1"/>
    <w:rsid w:val="000A6211"/>
    <w:rsid w:val="000A7CCB"/>
    <w:rsid w:val="000B1506"/>
    <w:rsid w:val="000B27F4"/>
    <w:rsid w:val="000B3027"/>
    <w:rsid w:val="000B35D1"/>
    <w:rsid w:val="000B379D"/>
    <w:rsid w:val="000B3805"/>
    <w:rsid w:val="000B4877"/>
    <w:rsid w:val="000B4F16"/>
    <w:rsid w:val="000B5C16"/>
    <w:rsid w:val="000B66A3"/>
    <w:rsid w:val="000B740B"/>
    <w:rsid w:val="000B76E3"/>
    <w:rsid w:val="000B7713"/>
    <w:rsid w:val="000B7CB3"/>
    <w:rsid w:val="000C16BB"/>
    <w:rsid w:val="000C1F57"/>
    <w:rsid w:val="000C2341"/>
    <w:rsid w:val="000C2BBF"/>
    <w:rsid w:val="000C2DA4"/>
    <w:rsid w:val="000C3476"/>
    <w:rsid w:val="000C4DCC"/>
    <w:rsid w:val="000C5E33"/>
    <w:rsid w:val="000C5E9B"/>
    <w:rsid w:val="000C6868"/>
    <w:rsid w:val="000C74AD"/>
    <w:rsid w:val="000C7C63"/>
    <w:rsid w:val="000C7CBC"/>
    <w:rsid w:val="000D067E"/>
    <w:rsid w:val="000D2BD7"/>
    <w:rsid w:val="000D2C97"/>
    <w:rsid w:val="000D2D76"/>
    <w:rsid w:val="000D3330"/>
    <w:rsid w:val="000D420B"/>
    <w:rsid w:val="000D5A0A"/>
    <w:rsid w:val="000D6569"/>
    <w:rsid w:val="000D6E49"/>
    <w:rsid w:val="000D6E74"/>
    <w:rsid w:val="000D72AF"/>
    <w:rsid w:val="000E02DB"/>
    <w:rsid w:val="000E214F"/>
    <w:rsid w:val="000E317F"/>
    <w:rsid w:val="000E33E5"/>
    <w:rsid w:val="000E3664"/>
    <w:rsid w:val="000E3CFF"/>
    <w:rsid w:val="000E41E0"/>
    <w:rsid w:val="000E52A2"/>
    <w:rsid w:val="000E5A6B"/>
    <w:rsid w:val="000E5B24"/>
    <w:rsid w:val="000E642B"/>
    <w:rsid w:val="000E658C"/>
    <w:rsid w:val="000E70F2"/>
    <w:rsid w:val="000E7AA8"/>
    <w:rsid w:val="000F0061"/>
    <w:rsid w:val="000F0DCE"/>
    <w:rsid w:val="000F1A13"/>
    <w:rsid w:val="000F1F91"/>
    <w:rsid w:val="000F24CB"/>
    <w:rsid w:val="000F2950"/>
    <w:rsid w:val="000F2ECA"/>
    <w:rsid w:val="000F411D"/>
    <w:rsid w:val="000F4C34"/>
    <w:rsid w:val="000F58C1"/>
    <w:rsid w:val="000F7816"/>
    <w:rsid w:val="00100B2C"/>
    <w:rsid w:val="001014C6"/>
    <w:rsid w:val="00101778"/>
    <w:rsid w:val="00102EAE"/>
    <w:rsid w:val="00103D21"/>
    <w:rsid w:val="00104BFA"/>
    <w:rsid w:val="00104E64"/>
    <w:rsid w:val="00104FEC"/>
    <w:rsid w:val="00105653"/>
    <w:rsid w:val="00105BCC"/>
    <w:rsid w:val="001060EE"/>
    <w:rsid w:val="00107134"/>
    <w:rsid w:val="00110108"/>
    <w:rsid w:val="00110457"/>
    <w:rsid w:val="00110E05"/>
    <w:rsid w:val="00111931"/>
    <w:rsid w:val="00112673"/>
    <w:rsid w:val="001128A2"/>
    <w:rsid w:val="00112C76"/>
    <w:rsid w:val="00113CAA"/>
    <w:rsid w:val="0011578C"/>
    <w:rsid w:val="00115DB9"/>
    <w:rsid w:val="00116F52"/>
    <w:rsid w:val="0011769E"/>
    <w:rsid w:val="0012007E"/>
    <w:rsid w:val="0012011E"/>
    <w:rsid w:val="0012036F"/>
    <w:rsid w:val="001218BE"/>
    <w:rsid w:val="00121F64"/>
    <w:rsid w:val="001228A9"/>
    <w:rsid w:val="00122C23"/>
    <w:rsid w:val="0012308E"/>
    <w:rsid w:val="00123173"/>
    <w:rsid w:val="00123F87"/>
    <w:rsid w:val="00124394"/>
    <w:rsid w:val="001251A9"/>
    <w:rsid w:val="00127C33"/>
    <w:rsid w:val="00130346"/>
    <w:rsid w:val="0013035F"/>
    <w:rsid w:val="00130598"/>
    <w:rsid w:val="001326E7"/>
    <w:rsid w:val="001327C9"/>
    <w:rsid w:val="00132BB2"/>
    <w:rsid w:val="00132D92"/>
    <w:rsid w:val="001330D9"/>
    <w:rsid w:val="001344A0"/>
    <w:rsid w:val="00134ACB"/>
    <w:rsid w:val="00135102"/>
    <w:rsid w:val="001367BE"/>
    <w:rsid w:val="00136FA4"/>
    <w:rsid w:val="0013733D"/>
    <w:rsid w:val="001379FE"/>
    <w:rsid w:val="00137AD8"/>
    <w:rsid w:val="001404D2"/>
    <w:rsid w:val="001415E9"/>
    <w:rsid w:val="00141F6E"/>
    <w:rsid w:val="001428E9"/>
    <w:rsid w:val="00142988"/>
    <w:rsid w:val="00143D34"/>
    <w:rsid w:val="00146F42"/>
    <w:rsid w:val="00147F00"/>
    <w:rsid w:val="00150297"/>
    <w:rsid w:val="001506BF"/>
    <w:rsid w:val="00150751"/>
    <w:rsid w:val="00150E28"/>
    <w:rsid w:val="00152250"/>
    <w:rsid w:val="00152652"/>
    <w:rsid w:val="00152A8B"/>
    <w:rsid w:val="0015363B"/>
    <w:rsid w:val="0015414E"/>
    <w:rsid w:val="00156270"/>
    <w:rsid w:val="0015713C"/>
    <w:rsid w:val="0015754F"/>
    <w:rsid w:val="00157598"/>
    <w:rsid w:val="001608D5"/>
    <w:rsid w:val="00160F1A"/>
    <w:rsid w:val="00162219"/>
    <w:rsid w:val="001629CA"/>
    <w:rsid w:val="00162B84"/>
    <w:rsid w:val="00162DC9"/>
    <w:rsid w:val="001630DD"/>
    <w:rsid w:val="0016417E"/>
    <w:rsid w:val="00164982"/>
    <w:rsid w:val="00164C5B"/>
    <w:rsid w:val="00164ED6"/>
    <w:rsid w:val="00165DE0"/>
    <w:rsid w:val="00166321"/>
    <w:rsid w:val="00166D22"/>
    <w:rsid w:val="001705EB"/>
    <w:rsid w:val="00170C5E"/>
    <w:rsid w:val="00170D01"/>
    <w:rsid w:val="00170F59"/>
    <w:rsid w:val="001711C9"/>
    <w:rsid w:val="0017237F"/>
    <w:rsid w:val="00172CC2"/>
    <w:rsid w:val="00173C54"/>
    <w:rsid w:val="00176269"/>
    <w:rsid w:val="00176318"/>
    <w:rsid w:val="00176BB9"/>
    <w:rsid w:val="00176E6D"/>
    <w:rsid w:val="00177379"/>
    <w:rsid w:val="001779C0"/>
    <w:rsid w:val="00181924"/>
    <w:rsid w:val="0018196C"/>
    <w:rsid w:val="00182391"/>
    <w:rsid w:val="00182492"/>
    <w:rsid w:val="00182FDC"/>
    <w:rsid w:val="0018331D"/>
    <w:rsid w:val="00183EC2"/>
    <w:rsid w:val="0018513C"/>
    <w:rsid w:val="001852C4"/>
    <w:rsid w:val="00185300"/>
    <w:rsid w:val="0018544E"/>
    <w:rsid w:val="0018692D"/>
    <w:rsid w:val="00186FC7"/>
    <w:rsid w:val="00190B98"/>
    <w:rsid w:val="00191F82"/>
    <w:rsid w:val="00191FE2"/>
    <w:rsid w:val="00191FFD"/>
    <w:rsid w:val="00192565"/>
    <w:rsid w:val="00192A7E"/>
    <w:rsid w:val="00193502"/>
    <w:rsid w:val="0019371D"/>
    <w:rsid w:val="00193BE6"/>
    <w:rsid w:val="00194E4C"/>
    <w:rsid w:val="00195790"/>
    <w:rsid w:val="001962A0"/>
    <w:rsid w:val="001978F0"/>
    <w:rsid w:val="00197AC6"/>
    <w:rsid w:val="001A1110"/>
    <w:rsid w:val="001A17D5"/>
    <w:rsid w:val="001A1A96"/>
    <w:rsid w:val="001A1B9B"/>
    <w:rsid w:val="001A544D"/>
    <w:rsid w:val="001A570A"/>
    <w:rsid w:val="001A5B98"/>
    <w:rsid w:val="001A606F"/>
    <w:rsid w:val="001A69D5"/>
    <w:rsid w:val="001A69F8"/>
    <w:rsid w:val="001A6FED"/>
    <w:rsid w:val="001A7FD4"/>
    <w:rsid w:val="001B01EC"/>
    <w:rsid w:val="001B12C7"/>
    <w:rsid w:val="001B1379"/>
    <w:rsid w:val="001B2625"/>
    <w:rsid w:val="001B412B"/>
    <w:rsid w:val="001B4672"/>
    <w:rsid w:val="001B48E4"/>
    <w:rsid w:val="001B54DD"/>
    <w:rsid w:val="001B5B8B"/>
    <w:rsid w:val="001B5C67"/>
    <w:rsid w:val="001B61A0"/>
    <w:rsid w:val="001B6A61"/>
    <w:rsid w:val="001B7405"/>
    <w:rsid w:val="001B77A9"/>
    <w:rsid w:val="001B7A5E"/>
    <w:rsid w:val="001B7B16"/>
    <w:rsid w:val="001B7DBC"/>
    <w:rsid w:val="001C00B7"/>
    <w:rsid w:val="001C01AB"/>
    <w:rsid w:val="001C032B"/>
    <w:rsid w:val="001C0490"/>
    <w:rsid w:val="001C1236"/>
    <w:rsid w:val="001C2304"/>
    <w:rsid w:val="001C235C"/>
    <w:rsid w:val="001C32FA"/>
    <w:rsid w:val="001C441B"/>
    <w:rsid w:val="001C481D"/>
    <w:rsid w:val="001C6984"/>
    <w:rsid w:val="001C6CC9"/>
    <w:rsid w:val="001C6D92"/>
    <w:rsid w:val="001D0012"/>
    <w:rsid w:val="001D1C1B"/>
    <w:rsid w:val="001D2FE0"/>
    <w:rsid w:val="001D3B47"/>
    <w:rsid w:val="001D3EB5"/>
    <w:rsid w:val="001D4A94"/>
    <w:rsid w:val="001D4F71"/>
    <w:rsid w:val="001D5DC6"/>
    <w:rsid w:val="001D648E"/>
    <w:rsid w:val="001D7F15"/>
    <w:rsid w:val="001E0504"/>
    <w:rsid w:val="001E0792"/>
    <w:rsid w:val="001E1545"/>
    <w:rsid w:val="001E18AC"/>
    <w:rsid w:val="001E1CDB"/>
    <w:rsid w:val="001E3747"/>
    <w:rsid w:val="001E498E"/>
    <w:rsid w:val="001E6123"/>
    <w:rsid w:val="001E6DF2"/>
    <w:rsid w:val="001F13BB"/>
    <w:rsid w:val="001F186E"/>
    <w:rsid w:val="001F400F"/>
    <w:rsid w:val="001F47CD"/>
    <w:rsid w:val="001F54B4"/>
    <w:rsid w:val="001F6B72"/>
    <w:rsid w:val="001F7D4D"/>
    <w:rsid w:val="002003F5"/>
    <w:rsid w:val="00200D82"/>
    <w:rsid w:val="00200EFB"/>
    <w:rsid w:val="00202280"/>
    <w:rsid w:val="002047CB"/>
    <w:rsid w:val="00204A43"/>
    <w:rsid w:val="00204C48"/>
    <w:rsid w:val="002060F7"/>
    <w:rsid w:val="00206606"/>
    <w:rsid w:val="0020673F"/>
    <w:rsid w:val="00210630"/>
    <w:rsid w:val="00210B0C"/>
    <w:rsid w:val="0021175A"/>
    <w:rsid w:val="00212503"/>
    <w:rsid w:val="0021276A"/>
    <w:rsid w:val="00212FC8"/>
    <w:rsid w:val="002149AE"/>
    <w:rsid w:val="00215CF8"/>
    <w:rsid w:val="00215F8E"/>
    <w:rsid w:val="0022100B"/>
    <w:rsid w:val="00221C7E"/>
    <w:rsid w:val="00222408"/>
    <w:rsid w:val="002241E9"/>
    <w:rsid w:val="00224676"/>
    <w:rsid w:val="0022468A"/>
    <w:rsid w:val="00224A07"/>
    <w:rsid w:val="00224B52"/>
    <w:rsid w:val="0022765D"/>
    <w:rsid w:val="00227A7D"/>
    <w:rsid w:val="002313D9"/>
    <w:rsid w:val="00232C56"/>
    <w:rsid w:val="0023346D"/>
    <w:rsid w:val="002340EE"/>
    <w:rsid w:val="002341FE"/>
    <w:rsid w:val="00234F21"/>
    <w:rsid w:val="002357E8"/>
    <w:rsid w:val="002423EF"/>
    <w:rsid w:val="0024255A"/>
    <w:rsid w:val="00242594"/>
    <w:rsid w:val="002429A1"/>
    <w:rsid w:val="00243ECF"/>
    <w:rsid w:val="002445A0"/>
    <w:rsid w:val="00246BB0"/>
    <w:rsid w:val="00247578"/>
    <w:rsid w:val="0025025A"/>
    <w:rsid w:val="002506C3"/>
    <w:rsid w:val="00251E74"/>
    <w:rsid w:val="002525A6"/>
    <w:rsid w:val="002529D6"/>
    <w:rsid w:val="00252FD5"/>
    <w:rsid w:val="002551B2"/>
    <w:rsid w:val="00255E5B"/>
    <w:rsid w:val="0025685D"/>
    <w:rsid w:val="00256ED7"/>
    <w:rsid w:val="00256F73"/>
    <w:rsid w:val="00257697"/>
    <w:rsid w:val="00260222"/>
    <w:rsid w:val="00260FCD"/>
    <w:rsid w:val="002618A8"/>
    <w:rsid w:val="00261EB7"/>
    <w:rsid w:val="0026258D"/>
    <w:rsid w:val="002634DA"/>
    <w:rsid w:val="00264129"/>
    <w:rsid w:val="002661AC"/>
    <w:rsid w:val="00267D23"/>
    <w:rsid w:val="00267F54"/>
    <w:rsid w:val="0027202C"/>
    <w:rsid w:val="00272FE6"/>
    <w:rsid w:val="0027305B"/>
    <w:rsid w:val="0027317A"/>
    <w:rsid w:val="00275E2D"/>
    <w:rsid w:val="00280970"/>
    <w:rsid w:val="002822DB"/>
    <w:rsid w:val="002832ED"/>
    <w:rsid w:val="0028460B"/>
    <w:rsid w:val="002854AA"/>
    <w:rsid w:val="00286015"/>
    <w:rsid w:val="0028622E"/>
    <w:rsid w:val="00286CEB"/>
    <w:rsid w:val="00287206"/>
    <w:rsid w:val="00290110"/>
    <w:rsid w:val="00290829"/>
    <w:rsid w:val="00291247"/>
    <w:rsid w:val="00291FE4"/>
    <w:rsid w:val="00292DA9"/>
    <w:rsid w:val="002930ED"/>
    <w:rsid w:val="00295316"/>
    <w:rsid w:val="002954BE"/>
    <w:rsid w:val="00295533"/>
    <w:rsid w:val="0029643F"/>
    <w:rsid w:val="0029653E"/>
    <w:rsid w:val="00296FC7"/>
    <w:rsid w:val="002971BF"/>
    <w:rsid w:val="00297CE8"/>
    <w:rsid w:val="002A029E"/>
    <w:rsid w:val="002A135E"/>
    <w:rsid w:val="002A1E87"/>
    <w:rsid w:val="002A34FE"/>
    <w:rsid w:val="002A4304"/>
    <w:rsid w:val="002A5259"/>
    <w:rsid w:val="002A5802"/>
    <w:rsid w:val="002A5BD5"/>
    <w:rsid w:val="002A5C72"/>
    <w:rsid w:val="002A5D3F"/>
    <w:rsid w:val="002A6C1A"/>
    <w:rsid w:val="002A7419"/>
    <w:rsid w:val="002B020D"/>
    <w:rsid w:val="002B13CF"/>
    <w:rsid w:val="002B1559"/>
    <w:rsid w:val="002B162F"/>
    <w:rsid w:val="002B3EAA"/>
    <w:rsid w:val="002B5DBD"/>
    <w:rsid w:val="002B75C3"/>
    <w:rsid w:val="002B77A1"/>
    <w:rsid w:val="002C019A"/>
    <w:rsid w:val="002C0961"/>
    <w:rsid w:val="002C1BED"/>
    <w:rsid w:val="002C1FA0"/>
    <w:rsid w:val="002C3AD2"/>
    <w:rsid w:val="002C4D70"/>
    <w:rsid w:val="002C4E4C"/>
    <w:rsid w:val="002C557E"/>
    <w:rsid w:val="002C5EFF"/>
    <w:rsid w:val="002C6634"/>
    <w:rsid w:val="002D045E"/>
    <w:rsid w:val="002D0752"/>
    <w:rsid w:val="002D0865"/>
    <w:rsid w:val="002D2490"/>
    <w:rsid w:val="002D334E"/>
    <w:rsid w:val="002D3734"/>
    <w:rsid w:val="002D3B1C"/>
    <w:rsid w:val="002D3E6E"/>
    <w:rsid w:val="002D4CCF"/>
    <w:rsid w:val="002D5BCA"/>
    <w:rsid w:val="002D6F86"/>
    <w:rsid w:val="002D778C"/>
    <w:rsid w:val="002D7B06"/>
    <w:rsid w:val="002E1F01"/>
    <w:rsid w:val="002E26C8"/>
    <w:rsid w:val="002E28B7"/>
    <w:rsid w:val="002E401D"/>
    <w:rsid w:val="002E4C40"/>
    <w:rsid w:val="002E59BA"/>
    <w:rsid w:val="002E5CA7"/>
    <w:rsid w:val="002E5D99"/>
    <w:rsid w:val="002E5DE8"/>
    <w:rsid w:val="002E6BEE"/>
    <w:rsid w:val="002E7B2F"/>
    <w:rsid w:val="002F08E9"/>
    <w:rsid w:val="002F12BC"/>
    <w:rsid w:val="002F1F0E"/>
    <w:rsid w:val="002F235C"/>
    <w:rsid w:val="002F3B87"/>
    <w:rsid w:val="002F3F5E"/>
    <w:rsid w:val="002F4570"/>
    <w:rsid w:val="002F4FF9"/>
    <w:rsid w:val="002F5BD6"/>
    <w:rsid w:val="002F62A0"/>
    <w:rsid w:val="002F64ED"/>
    <w:rsid w:val="002F7545"/>
    <w:rsid w:val="002F79E0"/>
    <w:rsid w:val="00300678"/>
    <w:rsid w:val="003007BD"/>
    <w:rsid w:val="00300B74"/>
    <w:rsid w:val="003019C6"/>
    <w:rsid w:val="003025B8"/>
    <w:rsid w:val="0030347F"/>
    <w:rsid w:val="003045AA"/>
    <w:rsid w:val="00304E67"/>
    <w:rsid w:val="00304EA1"/>
    <w:rsid w:val="003065B9"/>
    <w:rsid w:val="00307469"/>
    <w:rsid w:val="00307F4E"/>
    <w:rsid w:val="00310890"/>
    <w:rsid w:val="0031225C"/>
    <w:rsid w:val="00314644"/>
    <w:rsid w:val="00317437"/>
    <w:rsid w:val="003177EF"/>
    <w:rsid w:val="00317B2B"/>
    <w:rsid w:val="00317BE5"/>
    <w:rsid w:val="00321209"/>
    <w:rsid w:val="0032183C"/>
    <w:rsid w:val="003231CC"/>
    <w:rsid w:val="0032383A"/>
    <w:rsid w:val="00323B4A"/>
    <w:rsid w:val="00323C4D"/>
    <w:rsid w:val="0032511B"/>
    <w:rsid w:val="003256DA"/>
    <w:rsid w:val="00325EF0"/>
    <w:rsid w:val="00325F66"/>
    <w:rsid w:val="0032740C"/>
    <w:rsid w:val="003276E5"/>
    <w:rsid w:val="00327776"/>
    <w:rsid w:val="003301B4"/>
    <w:rsid w:val="0033067B"/>
    <w:rsid w:val="00333873"/>
    <w:rsid w:val="003340F6"/>
    <w:rsid w:val="00343BAC"/>
    <w:rsid w:val="003445A2"/>
    <w:rsid w:val="00346B6F"/>
    <w:rsid w:val="00347B94"/>
    <w:rsid w:val="00347D98"/>
    <w:rsid w:val="003508F0"/>
    <w:rsid w:val="00351D0B"/>
    <w:rsid w:val="00351E31"/>
    <w:rsid w:val="003520DC"/>
    <w:rsid w:val="00352B8C"/>
    <w:rsid w:val="003557BC"/>
    <w:rsid w:val="00356BD6"/>
    <w:rsid w:val="00357360"/>
    <w:rsid w:val="0036048C"/>
    <w:rsid w:val="003608A6"/>
    <w:rsid w:val="0036119D"/>
    <w:rsid w:val="003613AA"/>
    <w:rsid w:val="00361DD4"/>
    <w:rsid w:val="00363DEA"/>
    <w:rsid w:val="00363FCE"/>
    <w:rsid w:val="00364BA9"/>
    <w:rsid w:val="00365494"/>
    <w:rsid w:val="00366091"/>
    <w:rsid w:val="003663BE"/>
    <w:rsid w:val="003664D2"/>
    <w:rsid w:val="003664E6"/>
    <w:rsid w:val="00367E34"/>
    <w:rsid w:val="003723FE"/>
    <w:rsid w:val="003736F2"/>
    <w:rsid w:val="00375D66"/>
    <w:rsid w:val="0037753A"/>
    <w:rsid w:val="00377952"/>
    <w:rsid w:val="003819B0"/>
    <w:rsid w:val="00381D7F"/>
    <w:rsid w:val="00382C7A"/>
    <w:rsid w:val="00382FD8"/>
    <w:rsid w:val="003846BB"/>
    <w:rsid w:val="00384849"/>
    <w:rsid w:val="0038492E"/>
    <w:rsid w:val="003857F0"/>
    <w:rsid w:val="00385C6A"/>
    <w:rsid w:val="00385D01"/>
    <w:rsid w:val="003866D6"/>
    <w:rsid w:val="00386797"/>
    <w:rsid w:val="003869AC"/>
    <w:rsid w:val="00391672"/>
    <w:rsid w:val="003918A0"/>
    <w:rsid w:val="00391A5F"/>
    <w:rsid w:val="00391DB0"/>
    <w:rsid w:val="003921E4"/>
    <w:rsid w:val="00392484"/>
    <w:rsid w:val="003924B5"/>
    <w:rsid w:val="00392983"/>
    <w:rsid w:val="0039320B"/>
    <w:rsid w:val="00393F86"/>
    <w:rsid w:val="00394049"/>
    <w:rsid w:val="003950BB"/>
    <w:rsid w:val="003958AF"/>
    <w:rsid w:val="003A0A0A"/>
    <w:rsid w:val="003A188A"/>
    <w:rsid w:val="003A2B05"/>
    <w:rsid w:val="003A2CB8"/>
    <w:rsid w:val="003A2D93"/>
    <w:rsid w:val="003A3D68"/>
    <w:rsid w:val="003A4E17"/>
    <w:rsid w:val="003A649C"/>
    <w:rsid w:val="003A66D7"/>
    <w:rsid w:val="003B0489"/>
    <w:rsid w:val="003B06DD"/>
    <w:rsid w:val="003B0CE4"/>
    <w:rsid w:val="003B1807"/>
    <w:rsid w:val="003B235E"/>
    <w:rsid w:val="003B2633"/>
    <w:rsid w:val="003B2687"/>
    <w:rsid w:val="003B2A11"/>
    <w:rsid w:val="003B40FD"/>
    <w:rsid w:val="003B4B99"/>
    <w:rsid w:val="003B64BA"/>
    <w:rsid w:val="003B6AAB"/>
    <w:rsid w:val="003B6B34"/>
    <w:rsid w:val="003B6CAC"/>
    <w:rsid w:val="003B7928"/>
    <w:rsid w:val="003B7979"/>
    <w:rsid w:val="003B7F31"/>
    <w:rsid w:val="003C08C0"/>
    <w:rsid w:val="003C10EF"/>
    <w:rsid w:val="003C1C74"/>
    <w:rsid w:val="003C1F42"/>
    <w:rsid w:val="003C3EE9"/>
    <w:rsid w:val="003C474B"/>
    <w:rsid w:val="003C6BA7"/>
    <w:rsid w:val="003C7FEC"/>
    <w:rsid w:val="003D0D96"/>
    <w:rsid w:val="003D137E"/>
    <w:rsid w:val="003D1857"/>
    <w:rsid w:val="003D2EA9"/>
    <w:rsid w:val="003D2F43"/>
    <w:rsid w:val="003D38D0"/>
    <w:rsid w:val="003D3CB1"/>
    <w:rsid w:val="003D440C"/>
    <w:rsid w:val="003D4480"/>
    <w:rsid w:val="003D4957"/>
    <w:rsid w:val="003D4E8B"/>
    <w:rsid w:val="003D5578"/>
    <w:rsid w:val="003D6823"/>
    <w:rsid w:val="003D77D4"/>
    <w:rsid w:val="003D7F20"/>
    <w:rsid w:val="003E0572"/>
    <w:rsid w:val="003E08A9"/>
    <w:rsid w:val="003E08EC"/>
    <w:rsid w:val="003E133F"/>
    <w:rsid w:val="003E1685"/>
    <w:rsid w:val="003E16CE"/>
    <w:rsid w:val="003E1C79"/>
    <w:rsid w:val="003E1D43"/>
    <w:rsid w:val="003E2BCA"/>
    <w:rsid w:val="003E2D6F"/>
    <w:rsid w:val="003E3A24"/>
    <w:rsid w:val="003E407F"/>
    <w:rsid w:val="003E588B"/>
    <w:rsid w:val="003E65C1"/>
    <w:rsid w:val="003E6A68"/>
    <w:rsid w:val="003E6C79"/>
    <w:rsid w:val="003E6D89"/>
    <w:rsid w:val="003E74A2"/>
    <w:rsid w:val="003E761D"/>
    <w:rsid w:val="003E7F0B"/>
    <w:rsid w:val="003F068F"/>
    <w:rsid w:val="003F0CAA"/>
    <w:rsid w:val="003F3C07"/>
    <w:rsid w:val="003F3D63"/>
    <w:rsid w:val="003F57F9"/>
    <w:rsid w:val="003F5F9A"/>
    <w:rsid w:val="003F7E67"/>
    <w:rsid w:val="004003BF"/>
    <w:rsid w:val="00400D47"/>
    <w:rsid w:val="00403A1A"/>
    <w:rsid w:val="004046CE"/>
    <w:rsid w:val="0040542A"/>
    <w:rsid w:val="00410D2E"/>
    <w:rsid w:val="004115B6"/>
    <w:rsid w:val="00414372"/>
    <w:rsid w:val="00414681"/>
    <w:rsid w:val="00414CA0"/>
    <w:rsid w:val="0041582E"/>
    <w:rsid w:val="00417042"/>
    <w:rsid w:val="00417782"/>
    <w:rsid w:val="00417A14"/>
    <w:rsid w:val="00417B54"/>
    <w:rsid w:val="0042070F"/>
    <w:rsid w:val="004207A5"/>
    <w:rsid w:val="00420BDC"/>
    <w:rsid w:val="00421342"/>
    <w:rsid w:val="00422068"/>
    <w:rsid w:val="00423337"/>
    <w:rsid w:val="0042335F"/>
    <w:rsid w:val="00423632"/>
    <w:rsid w:val="0042510A"/>
    <w:rsid w:val="00425535"/>
    <w:rsid w:val="0042637A"/>
    <w:rsid w:val="00426ABF"/>
    <w:rsid w:val="004274CE"/>
    <w:rsid w:val="00430257"/>
    <w:rsid w:val="00431742"/>
    <w:rsid w:val="00431D08"/>
    <w:rsid w:val="0043360B"/>
    <w:rsid w:val="0043508A"/>
    <w:rsid w:val="00435281"/>
    <w:rsid w:val="00435BE8"/>
    <w:rsid w:val="00435FBC"/>
    <w:rsid w:val="00436333"/>
    <w:rsid w:val="004364A5"/>
    <w:rsid w:val="0043665A"/>
    <w:rsid w:val="004405C6"/>
    <w:rsid w:val="00440B09"/>
    <w:rsid w:val="00440FE6"/>
    <w:rsid w:val="0044233D"/>
    <w:rsid w:val="00442A30"/>
    <w:rsid w:val="00442C26"/>
    <w:rsid w:val="00442E63"/>
    <w:rsid w:val="00443E63"/>
    <w:rsid w:val="00443F80"/>
    <w:rsid w:val="00445E9E"/>
    <w:rsid w:val="00446443"/>
    <w:rsid w:val="00446875"/>
    <w:rsid w:val="00446B99"/>
    <w:rsid w:val="00447DEF"/>
    <w:rsid w:val="004501DB"/>
    <w:rsid w:val="00451B6A"/>
    <w:rsid w:val="00452B6F"/>
    <w:rsid w:val="00452B95"/>
    <w:rsid w:val="00453D8B"/>
    <w:rsid w:val="004545E1"/>
    <w:rsid w:val="004549CC"/>
    <w:rsid w:val="0045505E"/>
    <w:rsid w:val="00456FD0"/>
    <w:rsid w:val="004603BD"/>
    <w:rsid w:val="004607EF"/>
    <w:rsid w:val="00460CC5"/>
    <w:rsid w:val="004615C7"/>
    <w:rsid w:val="00463604"/>
    <w:rsid w:val="00463A9D"/>
    <w:rsid w:val="004647C5"/>
    <w:rsid w:val="00464B6F"/>
    <w:rsid w:val="00465086"/>
    <w:rsid w:val="00466786"/>
    <w:rsid w:val="00466F62"/>
    <w:rsid w:val="00467A75"/>
    <w:rsid w:val="00467DD2"/>
    <w:rsid w:val="004714CC"/>
    <w:rsid w:val="00471BF5"/>
    <w:rsid w:val="004727DA"/>
    <w:rsid w:val="004744FC"/>
    <w:rsid w:val="0047459C"/>
    <w:rsid w:val="00474696"/>
    <w:rsid w:val="004759DD"/>
    <w:rsid w:val="004775FF"/>
    <w:rsid w:val="00477BF0"/>
    <w:rsid w:val="004816C0"/>
    <w:rsid w:val="0048374B"/>
    <w:rsid w:val="00483961"/>
    <w:rsid w:val="00483F51"/>
    <w:rsid w:val="00484689"/>
    <w:rsid w:val="004864EE"/>
    <w:rsid w:val="00487573"/>
    <w:rsid w:val="00487E2E"/>
    <w:rsid w:val="0049081D"/>
    <w:rsid w:val="00491D6A"/>
    <w:rsid w:val="00492723"/>
    <w:rsid w:val="00494E3E"/>
    <w:rsid w:val="0049519F"/>
    <w:rsid w:val="004956D7"/>
    <w:rsid w:val="00495C1C"/>
    <w:rsid w:val="00495D22"/>
    <w:rsid w:val="00495F71"/>
    <w:rsid w:val="0049612C"/>
    <w:rsid w:val="0049615B"/>
    <w:rsid w:val="0049637D"/>
    <w:rsid w:val="00496E06"/>
    <w:rsid w:val="00497412"/>
    <w:rsid w:val="00497C9A"/>
    <w:rsid w:val="004A0ED2"/>
    <w:rsid w:val="004A2199"/>
    <w:rsid w:val="004A2585"/>
    <w:rsid w:val="004A3D12"/>
    <w:rsid w:val="004A3DFC"/>
    <w:rsid w:val="004A40B8"/>
    <w:rsid w:val="004A5599"/>
    <w:rsid w:val="004B08C6"/>
    <w:rsid w:val="004B08DA"/>
    <w:rsid w:val="004B1989"/>
    <w:rsid w:val="004B351B"/>
    <w:rsid w:val="004B3CB8"/>
    <w:rsid w:val="004B4191"/>
    <w:rsid w:val="004B5B28"/>
    <w:rsid w:val="004B5D07"/>
    <w:rsid w:val="004B78F0"/>
    <w:rsid w:val="004B7E98"/>
    <w:rsid w:val="004B7EC2"/>
    <w:rsid w:val="004B7F1E"/>
    <w:rsid w:val="004C001C"/>
    <w:rsid w:val="004C03AD"/>
    <w:rsid w:val="004C17BE"/>
    <w:rsid w:val="004C1BD4"/>
    <w:rsid w:val="004C310F"/>
    <w:rsid w:val="004C3E88"/>
    <w:rsid w:val="004C544D"/>
    <w:rsid w:val="004C60E9"/>
    <w:rsid w:val="004C6CE8"/>
    <w:rsid w:val="004C7128"/>
    <w:rsid w:val="004D0C41"/>
    <w:rsid w:val="004D199D"/>
    <w:rsid w:val="004D1E13"/>
    <w:rsid w:val="004D3BB1"/>
    <w:rsid w:val="004D4792"/>
    <w:rsid w:val="004D5600"/>
    <w:rsid w:val="004D747F"/>
    <w:rsid w:val="004D7C8E"/>
    <w:rsid w:val="004E08E1"/>
    <w:rsid w:val="004E202A"/>
    <w:rsid w:val="004E2688"/>
    <w:rsid w:val="004E2ACE"/>
    <w:rsid w:val="004E2CC7"/>
    <w:rsid w:val="004E37F6"/>
    <w:rsid w:val="004E3E60"/>
    <w:rsid w:val="004E47E8"/>
    <w:rsid w:val="004E4A96"/>
    <w:rsid w:val="004E4E4B"/>
    <w:rsid w:val="004E5A18"/>
    <w:rsid w:val="004E6270"/>
    <w:rsid w:val="004E7ACB"/>
    <w:rsid w:val="004F0BB7"/>
    <w:rsid w:val="004F152C"/>
    <w:rsid w:val="004F2478"/>
    <w:rsid w:val="004F30AB"/>
    <w:rsid w:val="004F37A6"/>
    <w:rsid w:val="004F6646"/>
    <w:rsid w:val="004F707E"/>
    <w:rsid w:val="004F7468"/>
    <w:rsid w:val="004F7823"/>
    <w:rsid w:val="00501185"/>
    <w:rsid w:val="00502124"/>
    <w:rsid w:val="00502176"/>
    <w:rsid w:val="00502322"/>
    <w:rsid w:val="00502D6E"/>
    <w:rsid w:val="00503A20"/>
    <w:rsid w:val="00503CC3"/>
    <w:rsid w:val="005048F6"/>
    <w:rsid w:val="0050553C"/>
    <w:rsid w:val="00505F66"/>
    <w:rsid w:val="00506E43"/>
    <w:rsid w:val="0050777F"/>
    <w:rsid w:val="00507FE1"/>
    <w:rsid w:val="005103F1"/>
    <w:rsid w:val="0051061C"/>
    <w:rsid w:val="005106A9"/>
    <w:rsid w:val="00511994"/>
    <w:rsid w:val="00515288"/>
    <w:rsid w:val="005157C1"/>
    <w:rsid w:val="00516ECB"/>
    <w:rsid w:val="00516F3E"/>
    <w:rsid w:val="0051733B"/>
    <w:rsid w:val="005206ED"/>
    <w:rsid w:val="00520826"/>
    <w:rsid w:val="00520991"/>
    <w:rsid w:val="00520C4F"/>
    <w:rsid w:val="00520D65"/>
    <w:rsid w:val="00520E3D"/>
    <w:rsid w:val="0052220B"/>
    <w:rsid w:val="0052254E"/>
    <w:rsid w:val="00522F20"/>
    <w:rsid w:val="00523443"/>
    <w:rsid w:val="00523531"/>
    <w:rsid w:val="005242AE"/>
    <w:rsid w:val="005248C7"/>
    <w:rsid w:val="00524993"/>
    <w:rsid w:val="00524E0F"/>
    <w:rsid w:val="0052506A"/>
    <w:rsid w:val="00526860"/>
    <w:rsid w:val="00526F28"/>
    <w:rsid w:val="0052712E"/>
    <w:rsid w:val="00530580"/>
    <w:rsid w:val="0053279C"/>
    <w:rsid w:val="00533B7B"/>
    <w:rsid w:val="00534103"/>
    <w:rsid w:val="005345CA"/>
    <w:rsid w:val="00534EB3"/>
    <w:rsid w:val="00537880"/>
    <w:rsid w:val="0054031E"/>
    <w:rsid w:val="00541F75"/>
    <w:rsid w:val="005421EB"/>
    <w:rsid w:val="0054369E"/>
    <w:rsid w:val="005448FD"/>
    <w:rsid w:val="00544DC5"/>
    <w:rsid w:val="0054506E"/>
    <w:rsid w:val="00545250"/>
    <w:rsid w:val="005453BB"/>
    <w:rsid w:val="0054574C"/>
    <w:rsid w:val="005475E2"/>
    <w:rsid w:val="00547A80"/>
    <w:rsid w:val="00550865"/>
    <w:rsid w:val="005508C9"/>
    <w:rsid w:val="005510F8"/>
    <w:rsid w:val="00551624"/>
    <w:rsid w:val="00551767"/>
    <w:rsid w:val="005526E8"/>
    <w:rsid w:val="00552878"/>
    <w:rsid w:val="00554796"/>
    <w:rsid w:val="00554BCD"/>
    <w:rsid w:val="0055590D"/>
    <w:rsid w:val="00555B44"/>
    <w:rsid w:val="00556668"/>
    <w:rsid w:val="00556B7D"/>
    <w:rsid w:val="00557A50"/>
    <w:rsid w:val="00561929"/>
    <w:rsid w:val="00562242"/>
    <w:rsid w:val="0056230C"/>
    <w:rsid w:val="00562793"/>
    <w:rsid w:val="005635EA"/>
    <w:rsid w:val="00563BD4"/>
    <w:rsid w:val="00563CF2"/>
    <w:rsid w:val="005658DC"/>
    <w:rsid w:val="0056596F"/>
    <w:rsid w:val="0056597B"/>
    <w:rsid w:val="00565B30"/>
    <w:rsid w:val="00567B83"/>
    <w:rsid w:val="005708E4"/>
    <w:rsid w:val="005712DB"/>
    <w:rsid w:val="00571486"/>
    <w:rsid w:val="00572120"/>
    <w:rsid w:val="005721A7"/>
    <w:rsid w:val="00572B92"/>
    <w:rsid w:val="00572FEC"/>
    <w:rsid w:val="00573EC3"/>
    <w:rsid w:val="00573F8F"/>
    <w:rsid w:val="00574731"/>
    <w:rsid w:val="00576B85"/>
    <w:rsid w:val="0057721F"/>
    <w:rsid w:val="005775D8"/>
    <w:rsid w:val="0058170D"/>
    <w:rsid w:val="00581CCA"/>
    <w:rsid w:val="00581F7C"/>
    <w:rsid w:val="00582284"/>
    <w:rsid w:val="00583175"/>
    <w:rsid w:val="005832C9"/>
    <w:rsid w:val="0058443D"/>
    <w:rsid w:val="0058457E"/>
    <w:rsid w:val="00584D30"/>
    <w:rsid w:val="005850FC"/>
    <w:rsid w:val="005878C5"/>
    <w:rsid w:val="00591872"/>
    <w:rsid w:val="00592E6B"/>
    <w:rsid w:val="005942C7"/>
    <w:rsid w:val="0059461D"/>
    <w:rsid w:val="005967F1"/>
    <w:rsid w:val="005971F1"/>
    <w:rsid w:val="005979F7"/>
    <w:rsid w:val="00597BDA"/>
    <w:rsid w:val="005A1232"/>
    <w:rsid w:val="005A21FD"/>
    <w:rsid w:val="005A3958"/>
    <w:rsid w:val="005A3F8E"/>
    <w:rsid w:val="005A4228"/>
    <w:rsid w:val="005A4378"/>
    <w:rsid w:val="005A468C"/>
    <w:rsid w:val="005A4F01"/>
    <w:rsid w:val="005A535F"/>
    <w:rsid w:val="005A53D0"/>
    <w:rsid w:val="005A5580"/>
    <w:rsid w:val="005A59FA"/>
    <w:rsid w:val="005A5F0B"/>
    <w:rsid w:val="005B0E0A"/>
    <w:rsid w:val="005B10F1"/>
    <w:rsid w:val="005B11E8"/>
    <w:rsid w:val="005B1789"/>
    <w:rsid w:val="005B1FC8"/>
    <w:rsid w:val="005B290F"/>
    <w:rsid w:val="005B3298"/>
    <w:rsid w:val="005B3731"/>
    <w:rsid w:val="005B3C5A"/>
    <w:rsid w:val="005B5004"/>
    <w:rsid w:val="005B504A"/>
    <w:rsid w:val="005B5214"/>
    <w:rsid w:val="005B5DCE"/>
    <w:rsid w:val="005B71B0"/>
    <w:rsid w:val="005C0887"/>
    <w:rsid w:val="005C0A26"/>
    <w:rsid w:val="005C2124"/>
    <w:rsid w:val="005C46B7"/>
    <w:rsid w:val="005C58BA"/>
    <w:rsid w:val="005C5F90"/>
    <w:rsid w:val="005C7138"/>
    <w:rsid w:val="005C7BE9"/>
    <w:rsid w:val="005D0EC3"/>
    <w:rsid w:val="005D11DD"/>
    <w:rsid w:val="005D1575"/>
    <w:rsid w:val="005D2C5A"/>
    <w:rsid w:val="005D2FBA"/>
    <w:rsid w:val="005D35D2"/>
    <w:rsid w:val="005D3AB2"/>
    <w:rsid w:val="005D3DAA"/>
    <w:rsid w:val="005D3DFF"/>
    <w:rsid w:val="005D4884"/>
    <w:rsid w:val="005D749A"/>
    <w:rsid w:val="005E0688"/>
    <w:rsid w:val="005E1164"/>
    <w:rsid w:val="005E2727"/>
    <w:rsid w:val="005E4410"/>
    <w:rsid w:val="005E512B"/>
    <w:rsid w:val="005E6594"/>
    <w:rsid w:val="005E6D60"/>
    <w:rsid w:val="005E70A2"/>
    <w:rsid w:val="005E7264"/>
    <w:rsid w:val="005E7ABB"/>
    <w:rsid w:val="005E7F28"/>
    <w:rsid w:val="005F009F"/>
    <w:rsid w:val="005F0DBE"/>
    <w:rsid w:val="005F108D"/>
    <w:rsid w:val="005F1AE9"/>
    <w:rsid w:val="005F2787"/>
    <w:rsid w:val="005F6AF1"/>
    <w:rsid w:val="005F746F"/>
    <w:rsid w:val="0060119E"/>
    <w:rsid w:val="00601F16"/>
    <w:rsid w:val="00602631"/>
    <w:rsid w:val="006026A0"/>
    <w:rsid w:val="00602D35"/>
    <w:rsid w:val="00607EC6"/>
    <w:rsid w:val="00610D83"/>
    <w:rsid w:val="00611181"/>
    <w:rsid w:val="006113E5"/>
    <w:rsid w:val="00611FAF"/>
    <w:rsid w:val="00613F59"/>
    <w:rsid w:val="00614489"/>
    <w:rsid w:val="006146B4"/>
    <w:rsid w:val="00614AAB"/>
    <w:rsid w:val="00614CF1"/>
    <w:rsid w:val="006151B0"/>
    <w:rsid w:val="006165E2"/>
    <w:rsid w:val="00620081"/>
    <w:rsid w:val="00621821"/>
    <w:rsid w:val="00622D8B"/>
    <w:rsid w:val="006236A8"/>
    <w:rsid w:val="006239F5"/>
    <w:rsid w:val="00623AFE"/>
    <w:rsid w:val="00624003"/>
    <w:rsid w:val="0062421B"/>
    <w:rsid w:val="00624F68"/>
    <w:rsid w:val="00626658"/>
    <w:rsid w:val="006276E4"/>
    <w:rsid w:val="00630179"/>
    <w:rsid w:val="006303FC"/>
    <w:rsid w:val="00631671"/>
    <w:rsid w:val="006320F5"/>
    <w:rsid w:val="00633D35"/>
    <w:rsid w:val="0063443E"/>
    <w:rsid w:val="0063515B"/>
    <w:rsid w:val="00635266"/>
    <w:rsid w:val="006354F3"/>
    <w:rsid w:val="0063590E"/>
    <w:rsid w:val="00635B77"/>
    <w:rsid w:val="00635C1C"/>
    <w:rsid w:val="00637A9F"/>
    <w:rsid w:val="00637AB7"/>
    <w:rsid w:val="00637ED3"/>
    <w:rsid w:val="00637EFA"/>
    <w:rsid w:val="006413D5"/>
    <w:rsid w:val="00642210"/>
    <w:rsid w:val="0064290B"/>
    <w:rsid w:val="00643740"/>
    <w:rsid w:val="00643E9B"/>
    <w:rsid w:val="0064473E"/>
    <w:rsid w:val="0064518A"/>
    <w:rsid w:val="0064521C"/>
    <w:rsid w:val="00645426"/>
    <w:rsid w:val="006460C7"/>
    <w:rsid w:val="00646583"/>
    <w:rsid w:val="00647050"/>
    <w:rsid w:val="0065084A"/>
    <w:rsid w:val="00650A72"/>
    <w:rsid w:val="00651D8B"/>
    <w:rsid w:val="006521A7"/>
    <w:rsid w:val="006522C1"/>
    <w:rsid w:val="00652C49"/>
    <w:rsid w:val="006539C0"/>
    <w:rsid w:val="00653D16"/>
    <w:rsid w:val="0065531F"/>
    <w:rsid w:val="006567B0"/>
    <w:rsid w:val="00657D69"/>
    <w:rsid w:val="00660464"/>
    <w:rsid w:val="00660926"/>
    <w:rsid w:val="00661146"/>
    <w:rsid w:val="006618E3"/>
    <w:rsid w:val="00662B82"/>
    <w:rsid w:val="00662C6B"/>
    <w:rsid w:val="00662E37"/>
    <w:rsid w:val="006635CD"/>
    <w:rsid w:val="00664384"/>
    <w:rsid w:val="00664D9E"/>
    <w:rsid w:val="0066577A"/>
    <w:rsid w:val="00665801"/>
    <w:rsid w:val="00665CD1"/>
    <w:rsid w:val="00665E67"/>
    <w:rsid w:val="00666191"/>
    <w:rsid w:val="00666546"/>
    <w:rsid w:val="00666A2C"/>
    <w:rsid w:val="00667087"/>
    <w:rsid w:val="00670A9E"/>
    <w:rsid w:val="00670B63"/>
    <w:rsid w:val="00670CA5"/>
    <w:rsid w:val="006718ED"/>
    <w:rsid w:val="006725C5"/>
    <w:rsid w:val="00673FD3"/>
    <w:rsid w:val="00674FF7"/>
    <w:rsid w:val="00675241"/>
    <w:rsid w:val="00675824"/>
    <w:rsid w:val="006758BE"/>
    <w:rsid w:val="0067708B"/>
    <w:rsid w:val="006773BE"/>
    <w:rsid w:val="00682D03"/>
    <w:rsid w:val="006856E7"/>
    <w:rsid w:val="00686AE4"/>
    <w:rsid w:val="0068742D"/>
    <w:rsid w:val="006914E8"/>
    <w:rsid w:val="00691B0D"/>
    <w:rsid w:val="00691F22"/>
    <w:rsid w:val="00692625"/>
    <w:rsid w:val="006936FA"/>
    <w:rsid w:val="0069515D"/>
    <w:rsid w:val="006951A3"/>
    <w:rsid w:val="00695AB7"/>
    <w:rsid w:val="00696066"/>
    <w:rsid w:val="00697694"/>
    <w:rsid w:val="00697853"/>
    <w:rsid w:val="00697C1E"/>
    <w:rsid w:val="006A0997"/>
    <w:rsid w:val="006A0C7C"/>
    <w:rsid w:val="006A1BA3"/>
    <w:rsid w:val="006A2862"/>
    <w:rsid w:val="006A2FA2"/>
    <w:rsid w:val="006A2FC6"/>
    <w:rsid w:val="006A3F51"/>
    <w:rsid w:val="006A3FD5"/>
    <w:rsid w:val="006A5091"/>
    <w:rsid w:val="006A5FA1"/>
    <w:rsid w:val="006A64DA"/>
    <w:rsid w:val="006A6785"/>
    <w:rsid w:val="006B19B9"/>
    <w:rsid w:val="006B201D"/>
    <w:rsid w:val="006B2755"/>
    <w:rsid w:val="006B3119"/>
    <w:rsid w:val="006B3C04"/>
    <w:rsid w:val="006B44BF"/>
    <w:rsid w:val="006B4C5D"/>
    <w:rsid w:val="006B5762"/>
    <w:rsid w:val="006B6369"/>
    <w:rsid w:val="006B6F9E"/>
    <w:rsid w:val="006B7360"/>
    <w:rsid w:val="006C0987"/>
    <w:rsid w:val="006C179E"/>
    <w:rsid w:val="006C1947"/>
    <w:rsid w:val="006C2841"/>
    <w:rsid w:val="006C382A"/>
    <w:rsid w:val="006C3A72"/>
    <w:rsid w:val="006C3EEC"/>
    <w:rsid w:val="006C6739"/>
    <w:rsid w:val="006C6FA0"/>
    <w:rsid w:val="006C7FD9"/>
    <w:rsid w:val="006D00BF"/>
    <w:rsid w:val="006D247E"/>
    <w:rsid w:val="006D2BA2"/>
    <w:rsid w:val="006D449E"/>
    <w:rsid w:val="006D5765"/>
    <w:rsid w:val="006D62EA"/>
    <w:rsid w:val="006D650F"/>
    <w:rsid w:val="006D6520"/>
    <w:rsid w:val="006D7562"/>
    <w:rsid w:val="006D79A2"/>
    <w:rsid w:val="006D7D29"/>
    <w:rsid w:val="006E0BE9"/>
    <w:rsid w:val="006E137B"/>
    <w:rsid w:val="006E19F5"/>
    <w:rsid w:val="006E270B"/>
    <w:rsid w:val="006E29AA"/>
    <w:rsid w:val="006E2F7D"/>
    <w:rsid w:val="006E2F9A"/>
    <w:rsid w:val="006E39AB"/>
    <w:rsid w:val="006E456B"/>
    <w:rsid w:val="006E4730"/>
    <w:rsid w:val="006E4BC8"/>
    <w:rsid w:val="006E5249"/>
    <w:rsid w:val="006E5615"/>
    <w:rsid w:val="006E5632"/>
    <w:rsid w:val="006F025B"/>
    <w:rsid w:val="006F0444"/>
    <w:rsid w:val="006F0A30"/>
    <w:rsid w:val="006F157F"/>
    <w:rsid w:val="006F2C2C"/>
    <w:rsid w:val="006F2FA8"/>
    <w:rsid w:val="006F3FAE"/>
    <w:rsid w:val="006F4294"/>
    <w:rsid w:val="006F4756"/>
    <w:rsid w:val="006F4EB5"/>
    <w:rsid w:val="006F520C"/>
    <w:rsid w:val="006F62DC"/>
    <w:rsid w:val="006F7700"/>
    <w:rsid w:val="006F79ED"/>
    <w:rsid w:val="007006F1"/>
    <w:rsid w:val="00701439"/>
    <w:rsid w:val="00701790"/>
    <w:rsid w:val="00703750"/>
    <w:rsid w:val="007048B0"/>
    <w:rsid w:val="0070548F"/>
    <w:rsid w:val="0070678B"/>
    <w:rsid w:val="00706AA0"/>
    <w:rsid w:val="00706C01"/>
    <w:rsid w:val="00710053"/>
    <w:rsid w:val="00710D93"/>
    <w:rsid w:val="00711BA1"/>
    <w:rsid w:val="007132D3"/>
    <w:rsid w:val="00713486"/>
    <w:rsid w:val="00713A22"/>
    <w:rsid w:val="00713B16"/>
    <w:rsid w:val="00714083"/>
    <w:rsid w:val="00714A63"/>
    <w:rsid w:val="00716368"/>
    <w:rsid w:val="007163B8"/>
    <w:rsid w:val="00716DFA"/>
    <w:rsid w:val="007170A8"/>
    <w:rsid w:val="00717EAD"/>
    <w:rsid w:val="0072075F"/>
    <w:rsid w:val="00720A9D"/>
    <w:rsid w:val="00721042"/>
    <w:rsid w:val="00722A23"/>
    <w:rsid w:val="0072306D"/>
    <w:rsid w:val="007231CD"/>
    <w:rsid w:val="00723437"/>
    <w:rsid w:val="007240AA"/>
    <w:rsid w:val="0072437A"/>
    <w:rsid w:val="00724B55"/>
    <w:rsid w:val="00725C6F"/>
    <w:rsid w:val="00726B57"/>
    <w:rsid w:val="00731C7B"/>
    <w:rsid w:val="00733886"/>
    <w:rsid w:val="00733EF2"/>
    <w:rsid w:val="0073453F"/>
    <w:rsid w:val="0073485C"/>
    <w:rsid w:val="00734AC3"/>
    <w:rsid w:val="00734C95"/>
    <w:rsid w:val="00734C99"/>
    <w:rsid w:val="00737AE9"/>
    <w:rsid w:val="007406AD"/>
    <w:rsid w:val="007409F8"/>
    <w:rsid w:val="0074527A"/>
    <w:rsid w:val="007464AE"/>
    <w:rsid w:val="00747280"/>
    <w:rsid w:val="007476B2"/>
    <w:rsid w:val="0075007B"/>
    <w:rsid w:val="007500A6"/>
    <w:rsid w:val="0075043B"/>
    <w:rsid w:val="00750CBB"/>
    <w:rsid w:val="0075107F"/>
    <w:rsid w:val="00751833"/>
    <w:rsid w:val="00752895"/>
    <w:rsid w:val="00752C54"/>
    <w:rsid w:val="00752CD8"/>
    <w:rsid w:val="00753A79"/>
    <w:rsid w:val="0075401B"/>
    <w:rsid w:val="00754694"/>
    <w:rsid w:val="00754861"/>
    <w:rsid w:val="00754C1A"/>
    <w:rsid w:val="00755750"/>
    <w:rsid w:val="00756275"/>
    <w:rsid w:val="00756295"/>
    <w:rsid w:val="00757149"/>
    <w:rsid w:val="00761966"/>
    <w:rsid w:val="0076267A"/>
    <w:rsid w:val="007631A2"/>
    <w:rsid w:val="0076358B"/>
    <w:rsid w:val="00763728"/>
    <w:rsid w:val="00763982"/>
    <w:rsid w:val="00764115"/>
    <w:rsid w:val="0076446D"/>
    <w:rsid w:val="00764952"/>
    <w:rsid w:val="00764B72"/>
    <w:rsid w:val="00764C98"/>
    <w:rsid w:val="00765BA8"/>
    <w:rsid w:val="00766D9F"/>
    <w:rsid w:val="0076788A"/>
    <w:rsid w:val="00767DDE"/>
    <w:rsid w:val="00770A47"/>
    <w:rsid w:val="00771760"/>
    <w:rsid w:val="00771787"/>
    <w:rsid w:val="007719BF"/>
    <w:rsid w:val="00772398"/>
    <w:rsid w:val="00772968"/>
    <w:rsid w:val="007744D0"/>
    <w:rsid w:val="007755F0"/>
    <w:rsid w:val="00775A07"/>
    <w:rsid w:val="00776317"/>
    <w:rsid w:val="00776C62"/>
    <w:rsid w:val="00776D26"/>
    <w:rsid w:val="00776EC3"/>
    <w:rsid w:val="00777F54"/>
    <w:rsid w:val="0078066A"/>
    <w:rsid w:val="00780F29"/>
    <w:rsid w:val="00781252"/>
    <w:rsid w:val="007819E8"/>
    <w:rsid w:val="0078220B"/>
    <w:rsid w:val="0078370D"/>
    <w:rsid w:val="00783C23"/>
    <w:rsid w:val="0078415F"/>
    <w:rsid w:val="007842B9"/>
    <w:rsid w:val="00784625"/>
    <w:rsid w:val="00784964"/>
    <w:rsid w:val="00784ACE"/>
    <w:rsid w:val="0078646D"/>
    <w:rsid w:val="00786694"/>
    <w:rsid w:val="00786936"/>
    <w:rsid w:val="0078771A"/>
    <w:rsid w:val="00787A30"/>
    <w:rsid w:val="00790883"/>
    <w:rsid w:val="00791000"/>
    <w:rsid w:val="00791920"/>
    <w:rsid w:val="007920D4"/>
    <w:rsid w:val="007922DF"/>
    <w:rsid w:val="00794339"/>
    <w:rsid w:val="00795395"/>
    <w:rsid w:val="0079608B"/>
    <w:rsid w:val="00796FCB"/>
    <w:rsid w:val="0079777B"/>
    <w:rsid w:val="00797C52"/>
    <w:rsid w:val="007A0A35"/>
    <w:rsid w:val="007A24CE"/>
    <w:rsid w:val="007A3C48"/>
    <w:rsid w:val="007A4B04"/>
    <w:rsid w:val="007A4C9F"/>
    <w:rsid w:val="007A4DEC"/>
    <w:rsid w:val="007A58F0"/>
    <w:rsid w:val="007A6B11"/>
    <w:rsid w:val="007A6EAF"/>
    <w:rsid w:val="007A7257"/>
    <w:rsid w:val="007A76BE"/>
    <w:rsid w:val="007A7ABB"/>
    <w:rsid w:val="007B2705"/>
    <w:rsid w:val="007B3771"/>
    <w:rsid w:val="007B3CE7"/>
    <w:rsid w:val="007B474C"/>
    <w:rsid w:val="007B4F1F"/>
    <w:rsid w:val="007B57F6"/>
    <w:rsid w:val="007B5CF4"/>
    <w:rsid w:val="007B6872"/>
    <w:rsid w:val="007B6C95"/>
    <w:rsid w:val="007B707B"/>
    <w:rsid w:val="007C0D00"/>
    <w:rsid w:val="007C1FBC"/>
    <w:rsid w:val="007C2D37"/>
    <w:rsid w:val="007C3794"/>
    <w:rsid w:val="007C4637"/>
    <w:rsid w:val="007C5CB5"/>
    <w:rsid w:val="007C719C"/>
    <w:rsid w:val="007C72EA"/>
    <w:rsid w:val="007C76CC"/>
    <w:rsid w:val="007C7951"/>
    <w:rsid w:val="007D18F8"/>
    <w:rsid w:val="007D4B94"/>
    <w:rsid w:val="007D4FAB"/>
    <w:rsid w:val="007D6015"/>
    <w:rsid w:val="007D63B0"/>
    <w:rsid w:val="007D63F5"/>
    <w:rsid w:val="007E01E4"/>
    <w:rsid w:val="007E0538"/>
    <w:rsid w:val="007E127D"/>
    <w:rsid w:val="007E1767"/>
    <w:rsid w:val="007E1A9F"/>
    <w:rsid w:val="007E32C9"/>
    <w:rsid w:val="007E4160"/>
    <w:rsid w:val="007E4D70"/>
    <w:rsid w:val="007E5A76"/>
    <w:rsid w:val="007E5B4D"/>
    <w:rsid w:val="007E5E7F"/>
    <w:rsid w:val="007E69D1"/>
    <w:rsid w:val="007E6DE6"/>
    <w:rsid w:val="007E7CF5"/>
    <w:rsid w:val="007E7D5C"/>
    <w:rsid w:val="007E7E8C"/>
    <w:rsid w:val="007F0485"/>
    <w:rsid w:val="007F110A"/>
    <w:rsid w:val="007F1341"/>
    <w:rsid w:val="007F1697"/>
    <w:rsid w:val="007F1D85"/>
    <w:rsid w:val="007F3CD6"/>
    <w:rsid w:val="007F4AF8"/>
    <w:rsid w:val="007F4D74"/>
    <w:rsid w:val="007F5489"/>
    <w:rsid w:val="007F6E0E"/>
    <w:rsid w:val="00802D1F"/>
    <w:rsid w:val="00804BE1"/>
    <w:rsid w:val="00805441"/>
    <w:rsid w:val="00806A01"/>
    <w:rsid w:val="00806D7A"/>
    <w:rsid w:val="008108EB"/>
    <w:rsid w:val="00811742"/>
    <w:rsid w:val="008142F2"/>
    <w:rsid w:val="00814AF9"/>
    <w:rsid w:val="008158EA"/>
    <w:rsid w:val="00816093"/>
    <w:rsid w:val="00816F84"/>
    <w:rsid w:val="00817077"/>
    <w:rsid w:val="00817091"/>
    <w:rsid w:val="008171B1"/>
    <w:rsid w:val="00820DA0"/>
    <w:rsid w:val="008233CA"/>
    <w:rsid w:val="0082449A"/>
    <w:rsid w:val="00824E3B"/>
    <w:rsid w:val="00827452"/>
    <w:rsid w:val="00831897"/>
    <w:rsid w:val="00831F99"/>
    <w:rsid w:val="0083273D"/>
    <w:rsid w:val="00832D8B"/>
    <w:rsid w:val="00832EC6"/>
    <w:rsid w:val="0083333F"/>
    <w:rsid w:val="00833627"/>
    <w:rsid w:val="008339D6"/>
    <w:rsid w:val="008350D2"/>
    <w:rsid w:val="00836C18"/>
    <w:rsid w:val="00836D95"/>
    <w:rsid w:val="00837C4A"/>
    <w:rsid w:val="00840278"/>
    <w:rsid w:val="00840F8A"/>
    <w:rsid w:val="00841EA4"/>
    <w:rsid w:val="008421FF"/>
    <w:rsid w:val="00843699"/>
    <w:rsid w:val="00843822"/>
    <w:rsid w:val="00844E33"/>
    <w:rsid w:val="00845824"/>
    <w:rsid w:val="0084700D"/>
    <w:rsid w:val="00850D6D"/>
    <w:rsid w:val="00851430"/>
    <w:rsid w:val="00851F9B"/>
    <w:rsid w:val="008534FF"/>
    <w:rsid w:val="00854BD6"/>
    <w:rsid w:val="00856CE8"/>
    <w:rsid w:val="00857750"/>
    <w:rsid w:val="00857D28"/>
    <w:rsid w:val="00857EC2"/>
    <w:rsid w:val="00860DFF"/>
    <w:rsid w:val="00862713"/>
    <w:rsid w:val="00862F36"/>
    <w:rsid w:val="00863360"/>
    <w:rsid w:val="00864611"/>
    <w:rsid w:val="00865724"/>
    <w:rsid w:val="0087384D"/>
    <w:rsid w:val="00873AC0"/>
    <w:rsid w:val="00873C0A"/>
    <w:rsid w:val="008742A8"/>
    <w:rsid w:val="008746D5"/>
    <w:rsid w:val="00875292"/>
    <w:rsid w:val="00876A2A"/>
    <w:rsid w:val="008810E7"/>
    <w:rsid w:val="008816EB"/>
    <w:rsid w:val="00882BA9"/>
    <w:rsid w:val="00884274"/>
    <w:rsid w:val="00886243"/>
    <w:rsid w:val="00886523"/>
    <w:rsid w:val="00886861"/>
    <w:rsid w:val="0088707E"/>
    <w:rsid w:val="00887500"/>
    <w:rsid w:val="00887FF1"/>
    <w:rsid w:val="008904AE"/>
    <w:rsid w:val="00890E92"/>
    <w:rsid w:val="00893270"/>
    <w:rsid w:val="00895C2A"/>
    <w:rsid w:val="00895FE2"/>
    <w:rsid w:val="00896CB1"/>
    <w:rsid w:val="008A1307"/>
    <w:rsid w:val="008A23C6"/>
    <w:rsid w:val="008A371E"/>
    <w:rsid w:val="008A3760"/>
    <w:rsid w:val="008A3E54"/>
    <w:rsid w:val="008A4222"/>
    <w:rsid w:val="008A52F8"/>
    <w:rsid w:val="008A5ECA"/>
    <w:rsid w:val="008A5F6A"/>
    <w:rsid w:val="008A64C7"/>
    <w:rsid w:val="008A6BA9"/>
    <w:rsid w:val="008A7212"/>
    <w:rsid w:val="008B040C"/>
    <w:rsid w:val="008B0A86"/>
    <w:rsid w:val="008B1E3F"/>
    <w:rsid w:val="008B2BB9"/>
    <w:rsid w:val="008B36CC"/>
    <w:rsid w:val="008B3964"/>
    <w:rsid w:val="008B442D"/>
    <w:rsid w:val="008B7236"/>
    <w:rsid w:val="008B742C"/>
    <w:rsid w:val="008C0D99"/>
    <w:rsid w:val="008C1892"/>
    <w:rsid w:val="008C27BA"/>
    <w:rsid w:val="008C2F4E"/>
    <w:rsid w:val="008C3B16"/>
    <w:rsid w:val="008C3C11"/>
    <w:rsid w:val="008C4EE4"/>
    <w:rsid w:val="008C4F92"/>
    <w:rsid w:val="008C56F6"/>
    <w:rsid w:val="008C5ECE"/>
    <w:rsid w:val="008C5F97"/>
    <w:rsid w:val="008C7A30"/>
    <w:rsid w:val="008D028C"/>
    <w:rsid w:val="008D15DC"/>
    <w:rsid w:val="008D1A1B"/>
    <w:rsid w:val="008D40CB"/>
    <w:rsid w:val="008D4DBA"/>
    <w:rsid w:val="008D6526"/>
    <w:rsid w:val="008E0163"/>
    <w:rsid w:val="008E01FD"/>
    <w:rsid w:val="008E0A79"/>
    <w:rsid w:val="008E0EBD"/>
    <w:rsid w:val="008E187A"/>
    <w:rsid w:val="008E2053"/>
    <w:rsid w:val="008E2556"/>
    <w:rsid w:val="008E3329"/>
    <w:rsid w:val="008E3964"/>
    <w:rsid w:val="008E4E26"/>
    <w:rsid w:val="008E7C2E"/>
    <w:rsid w:val="008E7EB0"/>
    <w:rsid w:val="008F01DB"/>
    <w:rsid w:val="008F07FF"/>
    <w:rsid w:val="008F127E"/>
    <w:rsid w:val="008F1930"/>
    <w:rsid w:val="008F2F1E"/>
    <w:rsid w:val="008F4685"/>
    <w:rsid w:val="008F4895"/>
    <w:rsid w:val="008F55EE"/>
    <w:rsid w:val="008F5694"/>
    <w:rsid w:val="008F5CDE"/>
    <w:rsid w:val="008F6949"/>
    <w:rsid w:val="008F736C"/>
    <w:rsid w:val="0090061C"/>
    <w:rsid w:val="00902FAD"/>
    <w:rsid w:val="0090362A"/>
    <w:rsid w:val="00905C06"/>
    <w:rsid w:val="00905CE0"/>
    <w:rsid w:val="00905DD0"/>
    <w:rsid w:val="009063F8"/>
    <w:rsid w:val="00907CB3"/>
    <w:rsid w:val="00910C5D"/>
    <w:rsid w:val="00911C20"/>
    <w:rsid w:val="00913650"/>
    <w:rsid w:val="00914B5A"/>
    <w:rsid w:val="00914BF2"/>
    <w:rsid w:val="00915391"/>
    <w:rsid w:val="00915749"/>
    <w:rsid w:val="00917169"/>
    <w:rsid w:val="00921CB7"/>
    <w:rsid w:val="00922DB3"/>
    <w:rsid w:val="00922F40"/>
    <w:rsid w:val="00925142"/>
    <w:rsid w:val="0092794B"/>
    <w:rsid w:val="00927FD3"/>
    <w:rsid w:val="009300B9"/>
    <w:rsid w:val="00930949"/>
    <w:rsid w:val="00932289"/>
    <w:rsid w:val="009328F0"/>
    <w:rsid w:val="00932EAC"/>
    <w:rsid w:val="00934002"/>
    <w:rsid w:val="0093457D"/>
    <w:rsid w:val="00934E2A"/>
    <w:rsid w:val="00934FE1"/>
    <w:rsid w:val="009352BD"/>
    <w:rsid w:val="00936D55"/>
    <w:rsid w:val="009372F6"/>
    <w:rsid w:val="009376B4"/>
    <w:rsid w:val="009403E3"/>
    <w:rsid w:val="0094059F"/>
    <w:rsid w:val="00940712"/>
    <w:rsid w:val="0094188B"/>
    <w:rsid w:val="00941895"/>
    <w:rsid w:val="00944474"/>
    <w:rsid w:val="0094575B"/>
    <w:rsid w:val="00945CC8"/>
    <w:rsid w:val="00946534"/>
    <w:rsid w:val="009467F0"/>
    <w:rsid w:val="00946DB4"/>
    <w:rsid w:val="00946F67"/>
    <w:rsid w:val="009475AE"/>
    <w:rsid w:val="00950AF3"/>
    <w:rsid w:val="00950B8C"/>
    <w:rsid w:val="00954A00"/>
    <w:rsid w:val="0095530B"/>
    <w:rsid w:val="0095551C"/>
    <w:rsid w:val="00955850"/>
    <w:rsid w:val="009558BB"/>
    <w:rsid w:val="00956239"/>
    <w:rsid w:val="0096034C"/>
    <w:rsid w:val="00962262"/>
    <w:rsid w:val="00964001"/>
    <w:rsid w:val="009651CF"/>
    <w:rsid w:val="0096533F"/>
    <w:rsid w:val="0096565F"/>
    <w:rsid w:val="00965FC8"/>
    <w:rsid w:val="0096649D"/>
    <w:rsid w:val="009674AD"/>
    <w:rsid w:val="00967CF1"/>
    <w:rsid w:val="00970996"/>
    <w:rsid w:val="0097242E"/>
    <w:rsid w:val="00973F01"/>
    <w:rsid w:val="00974179"/>
    <w:rsid w:val="00975DD4"/>
    <w:rsid w:val="00977C6F"/>
    <w:rsid w:val="00980777"/>
    <w:rsid w:val="00981E08"/>
    <w:rsid w:val="00982613"/>
    <w:rsid w:val="00982951"/>
    <w:rsid w:val="00983E44"/>
    <w:rsid w:val="00984780"/>
    <w:rsid w:val="009856C0"/>
    <w:rsid w:val="00985944"/>
    <w:rsid w:val="0098679F"/>
    <w:rsid w:val="00987921"/>
    <w:rsid w:val="0099054C"/>
    <w:rsid w:val="00990FC8"/>
    <w:rsid w:val="009918EE"/>
    <w:rsid w:val="00991DEA"/>
    <w:rsid w:val="00991E8A"/>
    <w:rsid w:val="0099230F"/>
    <w:rsid w:val="00993DF2"/>
    <w:rsid w:val="009946EC"/>
    <w:rsid w:val="00995EB8"/>
    <w:rsid w:val="00995F29"/>
    <w:rsid w:val="009960AA"/>
    <w:rsid w:val="009A11A0"/>
    <w:rsid w:val="009A1907"/>
    <w:rsid w:val="009A2F39"/>
    <w:rsid w:val="009A33C7"/>
    <w:rsid w:val="009A3C67"/>
    <w:rsid w:val="009A3CB6"/>
    <w:rsid w:val="009A3FF3"/>
    <w:rsid w:val="009A420B"/>
    <w:rsid w:val="009A4811"/>
    <w:rsid w:val="009A49A2"/>
    <w:rsid w:val="009A51FE"/>
    <w:rsid w:val="009A6949"/>
    <w:rsid w:val="009B08F0"/>
    <w:rsid w:val="009B0C62"/>
    <w:rsid w:val="009B35BB"/>
    <w:rsid w:val="009B6989"/>
    <w:rsid w:val="009B6B02"/>
    <w:rsid w:val="009B73B4"/>
    <w:rsid w:val="009B7BD3"/>
    <w:rsid w:val="009C03C6"/>
    <w:rsid w:val="009C0633"/>
    <w:rsid w:val="009C0E64"/>
    <w:rsid w:val="009C159B"/>
    <w:rsid w:val="009C3487"/>
    <w:rsid w:val="009C3807"/>
    <w:rsid w:val="009C4077"/>
    <w:rsid w:val="009C46FD"/>
    <w:rsid w:val="009C4C92"/>
    <w:rsid w:val="009C60CB"/>
    <w:rsid w:val="009C6121"/>
    <w:rsid w:val="009C7D61"/>
    <w:rsid w:val="009D063F"/>
    <w:rsid w:val="009D11D4"/>
    <w:rsid w:val="009D1E19"/>
    <w:rsid w:val="009D2E0D"/>
    <w:rsid w:val="009D3F20"/>
    <w:rsid w:val="009D4126"/>
    <w:rsid w:val="009D6082"/>
    <w:rsid w:val="009D62AC"/>
    <w:rsid w:val="009D6825"/>
    <w:rsid w:val="009D6CCE"/>
    <w:rsid w:val="009E0B6F"/>
    <w:rsid w:val="009E1209"/>
    <w:rsid w:val="009E18B9"/>
    <w:rsid w:val="009E1987"/>
    <w:rsid w:val="009E1C7B"/>
    <w:rsid w:val="009E226A"/>
    <w:rsid w:val="009E2AEA"/>
    <w:rsid w:val="009E3205"/>
    <w:rsid w:val="009E4687"/>
    <w:rsid w:val="009E6154"/>
    <w:rsid w:val="009E61CA"/>
    <w:rsid w:val="009E6BC4"/>
    <w:rsid w:val="009F0637"/>
    <w:rsid w:val="009F132C"/>
    <w:rsid w:val="009F160A"/>
    <w:rsid w:val="009F1F86"/>
    <w:rsid w:val="009F2AE4"/>
    <w:rsid w:val="009F2B9F"/>
    <w:rsid w:val="009F4051"/>
    <w:rsid w:val="009F426D"/>
    <w:rsid w:val="009F45E4"/>
    <w:rsid w:val="009F4DA4"/>
    <w:rsid w:val="009F5204"/>
    <w:rsid w:val="009F564D"/>
    <w:rsid w:val="009F59A8"/>
    <w:rsid w:val="009F68A3"/>
    <w:rsid w:val="009F6F9C"/>
    <w:rsid w:val="009F7A9B"/>
    <w:rsid w:val="00A02B31"/>
    <w:rsid w:val="00A02DEC"/>
    <w:rsid w:val="00A03EE1"/>
    <w:rsid w:val="00A040F1"/>
    <w:rsid w:val="00A04B4E"/>
    <w:rsid w:val="00A05338"/>
    <w:rsid w:val="00A062F0"/>
    <w:rsid w:val="00A075ED"/>
    <w:rsid w:val="00A105FB"/>
    <w:rsid w:val="00A1084A"/>
    <w:rsid w:val="00A122B9"/>
    <w:rsid w:val="00A12678"/>
    <w:rsid w:val="00A133C9"/>
    <w:rsid w:val="00A13F60"/>
    <w:rsid w:val="00A148CD"/>
    <w:rsid w:val="00A14980"/>
    <w:rsid w:val="00A153B0"/>
    <w:rsid w:val="00A157FF"/>
    <w:rsid w:val="00A15AD3"/>
    <w:rsid w:val="00A167ED"/>
    <w:rsid w:val="00A16A09"/>
    <w:rsid w:val="00A201B3"/>
    <w:rsid w:val="00A20675"/>
    <w:rsid w:val="00A22020"/>
    <w:rsid w:val="00A237BF"/>
    <w:rsid w:val="00A2484D"/>
    <w:rsid w:val="00A24DD4"/>
    <w:rsid w:val="00A26398"/>
    <w:rsid w:val="00A274A2"/>
    <w:rsid w:val="00A276EA"/>
    <w:rsid w:val="00A3055C"/>
    <w:rsid w:val="00A3087A"/>
    <w:rsid w:val="00A30B98"/>
    <w:rsid w:val="00A31344"/>
    <w:rsid w:val="00A361DC"/>
    <w:rsid w:val="00A36ECB"/>
    <w:rsid w:val="00A401DC"/>
    <w:rsid w:val="00A41B2A"/>
    <w:rsid w:val="00A41D22"/>
    <w:rsid w:val="00A42DE7"/>
    <w:rsid w:val="00A43155"/>
    <w:rsid w:val="00A437EB"/>
    <w:rsid w:val="00A44033"/>
    <w:rsid w:val="00A442B1"/>
    <w:rsid w:val="00A4493B"/>
    <w:rsid w:val="00A45F75"/>
    <w:rsid w:val="00A46DA3"/>
    <w:rsid w:val="00A475C9"/>
    <w:rsid w:val="00A476F4"/>
    <w:rsid w:val="00A50103"/>
    <w:rsid w:val="00A5049C"/>
    <w:rsid w:val="00A50DDE"/>
    <w:rsid w:val="00A50EA5"/>
    <w:rsid w:val="00A51FED"/>
    <w:rsid w:val="00A52366"/>
    <w:rsid w:val="00A52BFF"/>
    <w:rsid w:val="00A551AC"/>
    <w:rsid w:val="00A5625E"/>
    <w:rsid w:val="00A57FFA"/>
    <w:rsid w:val="00A609B8"/>
    <w:rsid w:val="00A610A9"/>
    <w:rsid w:val="00A620F6"/>
    <w:rsid w:val="00A63B4B"/>
    <w:rsid w:val="00A63BE4"/>
    <w:rsid w:val="00A646F3"/>
    <w:rsid w:val="00A66041"/>
    <w:rsid w:val="00A6727F"/>
    <w:rsid w:val="00A6738E"/>
    <w:rsid w:val="00A67995"/>
    <w:rsid w:val="00A67CDF"/>
    <w:rsid w:val="00A709EB"/>
    <w:rsid w:val="00A714E2"/>
    <w:rsid w:val="00A72118"/>
    <w:rsid w:val="00A73D96"/>
    <w:rsid w:val="00A73DA9"/>
    <w:rsid w:val="00A75298"/>
    <w:rsid w:val="00A75538"/>
    <w:rsid w:val="00A75576"/>
    <w:rsid w:val="00A7561A"/>
    <w:rsid w:val="00A75737"/>
    <w:rsid w:val="00A80E80"/>
    <w:rsid w:val="00A81A19"/>
    <w:rsid w:val="00A821C7"/>
    <w:rsid w:val="00A82C6F"/>
    <w:rsid w:val="00A83671"/>
    <w:rsid w:val="00A851CB"/>
    <w:rsid w:val="00A852E3"/>
    <w:rsid w:val="00A86786"/>
    <w:rsid w:val="00A87CD8"/>
    <w:rsid w:val="00A90113"/>
    <w:rsid w:val="00A905D2"/>
    <w:rsid w:val="00A91512"/>
    <w:rsid w:val="00A938FF"/>
    <w:rsid w:val="00A940FC"/>
    <w:rsid w:val="00A94CDB"/>
    <w:rsid w:val="00A95286"/>
    <w:rsid w:val="00A96006"/>
    <w:rsid w:val="00A963C9"/>
    <w:rsid w:val="00A96E32"/>
    <w:rsid w:val="00A97063"/>
    <w:rsid w:val="00A9714C"/>
    <w:rsid w:val="00A97177"/>
    <w:rsid w:val="00A971CE"/>
    <w:rsid w:val="00A97605"/>
    <w:rsid w:val="00AA0474"/>
    <w:rsid w:val="00AA05CC"/>
    <w:rsid w:val="00AA0CEC"/>
    <w:rsid w:val="00AA2E69"/>
    <w:rsid w:val="00AA62FE"/>
    <w:rsid w:val="00AA633A"/>
    <w:rsid w:val="00AA68A6"/>
    <w:rsid w:val="00AA6FA8"/>
    <w:rsid w:val="00AB15A7"/>
    <w:rsid w:val="00AB2225"/>
    <w:rsid w:val="00AB3B2F"/>
    <w:rsid w:val="00AB4232"/>
    <w:rsid w:val="00AB4355"/>
    <w:rsid w:val="00AB445A"/>
    <w:rsid w:val="00AB59DF"/>
    <w:rsid w:val="00AC1371"/>
    <w:rsid w:val="00AC2C42"/>
    <w:rsid w:val="00AC310E"/>
    <w:rsid w:val="00AC350C"/>
    <w:rsid w:val="00AC3C99"/>
    <w:rsid w:val="00AC4129"/>
    <w:rsid w:val="00AC5644"/>
    <w:rsid w:val="00AC6471"/>
    <w:rsid w:val="00AC6490"/>
    <w:rsid w:val="00AC7B80"/>
    <w:rsid w:val="00AD105C"/>
    <w:rsid w:val="00AD11F8"/>
    <w:rsid w:val="00AD1AF5"/>
    <w:rsid w:val="00AD28FD"/>
    <w:rsid w:val="00AD3ACF"/>
    <w:rsid w:val="00AD4B44"/>
    <w:rsid w:val="00AD4E0F"/>
    <w:rsid w:val="00AD5A25"/>
    <w:rsid w:val="00AD6FBF"/>
    <w:rsid w:val="00AE14AE"/>
    <w:rsid w:val="00AE2BA2"/>
    <w:rsid w:val="00AE3DE2"/>
    <w:rsid w:val="00AE57CB"/>
    <w:rsid w:val="00AE59E2"/>
    <w:rsid w:val="00AE7948"/>
    <w:rsid w:val="00AF01AD"/>
    <w:rsid w:val="00AF0496"/>
    <w:rsid w:val="00AF04CD"/>
    <w:rsid w:val="00AF0C3B"/>
    <w:rsid w:val="00AF0CE3"/>
    <w:rsid w:val="00AF2242"/>
    <w:rsid w:val="00AF386C"/>
    <w:rsid w:val="00AF39EE"/>
    <w:rsid w:val="00AF3C8B"/>
    <w:rsid w:val="00AF3DF9"/>
    <w:rsid w:val="00AF4CDD"/>
    <w:rsid w:val="00AF51E4"/>
    <w:rsid w:val="00AF58BC"/>
    <w:rsid w:val="00AF6BFC"/>
    <w:rsid w:val="00B00010"/>
    <w:rsid w:val="00B0104E"/>
    <w:rsid w:val="00B01170"/>
    <w:rsid w:val="00B03998"/>
    <w:rsid w:val="00B03C34"/>
    <w:rsid w:val="00B041A8"/>
    <w:rsid w:val="00B046AD"/>
    <w:rsid w:val="00B059FA"/>
    <w:rsid w:val="00B05FB3"/>
    <w:rsid w:val="00B063DA"/>
    <w:rsid w:val="00B065AF"/>
    <w:rsid w:val="00B0732E"/>
    <w:rsid w:val="00B0736C"/>
    <w:rsid w:val="00B07CAA"/>
    <w:rsid w:val="00B1067A"/>
    <w:rsid w:val="00B107F5"/>
    <w:rsid w:val="00B1146A"/>
    <w:rsid w:val="00B1230E"/>
    <w:rsid w:val="00B1267F"/>
    <w:rsid w:val="00B12E96"/>
    <w:rsid w:val="00B13013"/>
    <w:rsid w:val="00B154D4"/>
    <w:rsid w:val="00B15F55"/>
    <w:rsid w:val="00B162EA"/>
    <w:rsid w:val="00B16F59"/>
    <w:rsid w:val="00B174C9"/>
    <w:rsid w:val="00B17648"/>
    <w:rsid w:val="00B21E0E"/>
    <w:rsid w:val="00B22CF4"/>
    <w:rsid w:val="00B24903"/>
    <w:rsid w:val="00B25159"/>
    <w:rsid w:val="00B25A92"/>
    <w:rsid w:val="00B26479"/>
    <w:rsid w:val="00B2726C"/>
    <w:rsid w:val="00B2771D"/>
    <w:rsid w:val="00B27918"/>
    <w:rsid w:val="00B279DC"/>
    <w:rsid w:val="00B30690"/>
    <w:rsid w:val="00B30CC7"/>
    <w:rsid w:val="00B31814"/>
    <w:rsid w:val="00B32151"/>
    <w:rsid w:val="00B329C1"/>
    <w:rsid w:val="00B33029"/>
    <w:rsid w:val="00B34AF4"/>
    <w:rsid w:val="00B364CF"/>
    <w:rsid w:val="00B37374"/>
    <w:rsid w:val="00B415EC"/>
    <w:rsid w:val="00B41C1D"/>
    <w:rsid w:val="00B42401"/>
    <w:rsid w:val="00B43AE3"/>
    <w:rsid w:val="00B44016"/>
    <w:rsid w:val="00B440F1"/>
    <w:rsid w:val="00B44E9B"/>
    <w:rsid w:val="00B474A3"/>
    <w:rsid w:val="00B47711"/>
    <w:rsid w:val="00B500EA"/>
    <w:rsid w:val="00B50ED1"/>
    <w:rsid w:val="00B51D97"/>
    <w:rsid w:val="00B52F65"/>
    <w:rsid w:val="00B530C1"/>
    <w:rsid w:val="00B53D41"/>
    <w:rsid w:val="00B54667"/>
    <w:rsid w:val="00B5533C"/>
    <w:rsid w:val="00B606EB"/>
    <w:rsid w:val="00B60A64"/>
    <w:rsid w:val="00B6184E"/>
    <w:rsid w:val="00B63684"/>
    <w:rsid w:val="00B64156"/>
    <w:rsid w:val="00B64ED4"/>
    <w:rsid w:val="00B65AF6"/>
    <w:rsid w:val="00B66D5A"/>
    <w:rsid w:val="00B670E6"/>
    <w:rsid w:val="00B678F0"/>
    <w:rsid w:val="00B7045E"/>
    <w:rsid w:val="00B708E9"/>
    <w:rsid w:val="00B711EF"/>
    <w:rsid w:val="00B719ED"/>
    <w:rsid w:val="00B71AAA"/>
    <w:rsid w:val="00B7255B"/>
    <w:rsid w:val="00B744DE"/>
    <w:rsid w:val="00B7546E"/>
    <w:rsid w:val="00B75908"/>
    <w:rsid w:val="00B75BE7"/>
    <w:rsid w:val="00B76C3D"/>
    <w:rsid w:val="00B77DC6"/>
    <w:rsid w:val="00B77DD9"/>
    <w:rsid w:val="00B82963"/>
    <w:rsid w:val="00B82E90"/>
    <w:rsid w:val="00B833CE"/>
    <w:rsid w:val="00B83EDF"/>
    <w:rsid w:val="00B840ED"/>
    <w:rsid w:val="00B84D4F"/>
    <w:rsid w:val="00B859FA"/>
    <w:rsid w:val="00B85BA2"/>
    <w:rsid w:val="00B86FE6"/>
    <w:rsid w:val="00B871D1"/>
    <w:rsid w:val="00B90214"/>
    <w:rsid w:val="00B90F63"/>
    <w:rsid w:val="00B91A73"/>
    <w:rsid w:val="00B91FB3"/>
    <w:rsid w:val="00B92BF5"/>
    <w:rsid w:val="00B92CE8"/>
    <w:rsid w:val="00B92DA1"/>
    <w:rsid w:val="00B93166"/>
    <w:rsid w:val="00B94161"/>
    <w:rsid w:val="00B965B4"/>
    <w:rsid w:val="00B96B1D"/>
    <w:rsid w:val="00BA03D0"/>
    <w:rsid w:val="00BA11B5"/>
    <w:rsid w:val="00BA1399"/>
    <w:rsid w:val="00BA203B"/>
    <w:rsid w:val="00BA21BB"/>
    <w:rsid w:val="00BA33EE"/>
    <w:rsid w:val="00BA3F96"/>
    <w:rsid w:val="00BA4AA9"/>
    <w:rsid w:val="00BA5338"/>
    <w:rsid w:val="00BA588E"/>
    <w:rsid w:val="00BB0554"/>
    <w:rsid w:val="00BB0707"/>
    <w:rsid w:val="00BB10D3"/>
    <w:rsid w:val="00BB361D"/>
    <w:rsid w:val="00BB40B4"/>
    <w:rsid w:val="00BB437A"/>
    <w:rsid w:val="00BB4604"/>
    <w:rsid w:val="00BB5E41"/>
    <w:rsid w:val="00BB6784"/>
    <w:rsid w:val="00BB7A1A"/>
    <w:rsid w:val="00BB7B74"/>
    <w:rsid w:val="00BB7C21"/>
    <w:rsid w:val="00BB7E40"/>
    <w:rsid w:val="00BC0416"/>
    <w:rsid w:val="00BC0AB4"/>
    <w:rsid w:val="00BC225B"/>
    <w:rsid w:val="00BC6BE3"/>
    <w:rsid w:val="00BC6F96"/>
    <w:rsid w:val="00BD1597"/>
    <w:rsid w:val="00BD2381"/>
    <w:rsid w:val="00BD2EF6"/>
    <w:rsid w:val="00BD34CC"/>
    <w:rsid w:val="00BD35EC"/>
    <w:rsid w:val="00BD5583"/>
    <w:rsid w:val="00BE0427"/>
    <w:rsid w:val="00BE0FE1"/>
    <w:rsid w:val="00BE1054"/>
    <w:rsid w:val="00BE17DA"/>
    <w:rsid w:val="00BE2A05"/>
    <w:rsid w:val="00BE49FE"/>
    <w:rsid w:val="00BE55E5"/>
    <w:rsid w:val="00BE60D4"/>
    <w:rsid w:val="00BE6F05"/>
    <w:rsid w:val="00BE7A34"/>
    <w:rsid w:val="00BF1CEF"/>
    <w:rsid w:val="00BF27A4"/>
    <w:rsid w:val="00BF2B55"/>
    <w:rsid w:val="00BF2BB2"/>
    <w:rsid w:val="00BF2C29"/>
    <w:rsid w:val="00BF34A2"/>
    <w:rsid w:val="00BF3AFF"/>
    <w:rsid w:val="00BF4618"/>
    <w:rsid w:val="00BF67D9"/>
    <w:rsid w:val="00BF69AA"/>
    <w:rsid w:val="00BF6B75"/>
    <w:rsid w:val="00BF779C"/>
    <w:rsid w:val="00BF7E25"/>
    <w:rsid w:val="00BF7F38"/>
    <w:rsid w:val="00C0163B"/>
    <w:rsid w:val="00C01D50"/>
    <w:rsid w:val="00C026DC"/>
    <w:rsid w:val="00C03026"/>
    <w:rsid w:val="00C034B2"/>
    <w:rsid w:val="00C047AC"/>
    <w:rsid w:val="00C0506E"/>
    <w:rsid w:val="00C0784B"/>
    <w:rsid w:val="00C07A0D"/>
    <w:rsid w:val="00C10CA2"/>
    <w:rsid w:val="00C10D6D"/>
    <w:rsid w:val="00C11E91"/>
    <w:rsid w:val="00C12B78"/>
    <w:rsid w:val="00C13839"/>
    <w:rsid w:val="00C13BAE"/>
    <w:rsid w:val="00C14B4F"/>
    <w:rsid w:val="00C1543A"/>
    <w:rsid w:val="00C1672B"/>
    <w:rsid w:val="00C169B2"/>
    <w:rsid w:val="00C17E83"/>
    <w:rsid w:val="00C202CD"/>
    <w:rsid w:val="00C20552"/>
    <w:rsid w:val="00C20883"/>
    <w:rsid w:val="00C20905"/>
    <w:rsid w:val="00C22709"/>
    <w:rsid w:val="00C235ED"/>
    <w:rsid w:val="00C23E42"/>
    <w:rsid w:val="00C24E40"/>
    <w:rsid w:val="00C25548"/>
    <w:rsid w:val="00C2570A"/>
    <w:rsid w:val="00C2758E"/>
    <w:rsid w:val="00C2799F"/>
    <w:rsid w:val="00C27FA8"/>
    <w:rsid w:val="00C30612"/>
    <w:rsid w:val="00C31633"/>
    <w:rsid w:val="00C318CB"/>
    <w:rsid w:val="00C32236"/>
    <w:rsid w:val="00C327A0"/>
    <w:rsid w:val="00C33E70"/>
    <w:rsid w:val="00C342FB"/>
    <w:rsid w:val="00C347A4"/>
    <w:rsid w:val="00C35766"/>
    <w:rsid w:val="00C36087"/>
    <w:rsid w:val="00C378BB"/>
    <w:rsid w:val="00C37985"/>
    <w:rsid w:val="00C37B72"/>
    <w:rsid w:val="00C37CDD"/>
    <w:rsid w:val="00C40A38"/>
    <w:rsid w:val="00C415AE"/>
    <w:rsid w:val="00C4259E"/>
    <w:rsid w:val="00C42619"/>
    <w:rsid w:val="00C451E8"/>
    <w:rsid w:val="00C45570"/>
    <w:rsid w:val="00C46A2C"/>
    <w:rsid w:val="00C472FD"/>
    <w:rsid w:val="00C4732F"/>
    <w:rsid w:val="00C5043C"/>
    <w:rsid w:val="00C50B70"/>
    <w:rsid w:val="00C510B8"/>
    <w:rsid w:val="00C51153"/>
    <w:rsid w:val="00C52409"/>
    <w:rsid w:val="00C52501"/>
    <w:rsid w:val="00C53612"/>
    <w:rsid w:val="00C537E0"/>
    <w:rsid w:val="00C54C79"/>
    <w:rsid w:val="00C55342"/>
    <w:rsid w:val="00C55F20"/>
    <w:rsid w:val="00C56D46"/>
    <w:rsid w:val="00C6034E"/>
    <w:rsid w:val="00C6128E"/>
    <w:rsid w:val="00C6134B"/>
    <w:rsid w:val="00C616E1"/>
    <w:rsid w:val="00C61BE3"/>
    <w:rsid w:val="00C61F4D"/>
    <w:rsid w:val="00C6201E"/>
    <w:rsid w:val="00C63B27"/>
    <w:rsid w:val="00C6426B"/>
    <w:rsid w:val="00C6431E"/>
    <w:rsid w:val="00C64E07"/>
    <w:rsid w:val="00C6681F"/>
    <w:rsid w:val="00C67ED1"/>
    <w:rsid w:val="00C70079"/>
    <w:rsid w:val="00C717BB"/>
    <w:rsid w:val="00C71957"/>
    <w:rsid w:val="00C71DBB"/>
    <w:rsid w:val="00C7326C"/>
    <w:rsid w:val="00C744D3"/>
    <w:rsid w:val="00C747D8"/>
    <w:rsid w:val="00C74823"/>
    <w:rsid w:val="00C759B2"/>
    <w:rsid w:val="00C767F5"/>
    <w:rsid w:val="00C77BAB"/>
    <w:rsid w:val="00C77E27"/>
    <w:rsid w:val="00C8025C"/>
    <w:rsid w:val="00C812EC"/>
    <w:rsid w:val="00C81CBE"/>
    <w:rsid w:val="00C82838"/>
    <w:rsid w:val="00C838F0"/>
    <w:rsid w:val="00C846A8"/>
    <w:rsid w:val="00C85FBC"/>
    <w:rsid w:val="00C86177"/>
    <w:rsid w:val="00C87DD5"/>
    <w:rsid w:val="00C9051C"/>
    <w:rsid w:val="00C926AB"/>
    <w:rsid w:val="00C92F88"/>
    <w:rsid w:val="00C93D39"/>
    <w:rsid w:val="00C93F98"/>
    <w:rsid w:val="00C93FE7"/>
    <w:rsid w:val="00C946D3"/>
    <w:rsid w:val="00C949CB"/>
    <w:rsid w:val="00C94CDC"/>
    <w:rsid w:val="00C964E6"/>
    <w:rsid w:val="00C96538"/>
    <w:rsid w:val="00C97519"/>
    <w:rsid w:val="00C97E15"/>
    <w:rsid w:val="00CA0185"/>
    <w:rsid w:val="00CA200A"/>
    <w:rsid w:val="00CA4454"/>
    <w:rsid w:val="00CA5CB5"/>
    <w:rsid w:val="00CB087E"/>
    <w:rsid w:val="00CB09D1"/>
    <w:rsid w:val="00CB0FBC"/>
    <w:rsid w:val="00CB1347"/>
    <w:rsid w:val="00CB208D"/>
    <w:rsid w:val="00CB302D"/>
    <w:rsid w:val="00CB3DAA"/>
    <w:rsid w:val="00CB5585"/>
    <w:rsid w:val="00CB6ACF"/>
    <w:rsid w:val="00CB731A"/>
    <w:rsid w:val="00CB7334"/>
    <w:rsid w:val="00CC039A"/>
    <w:rsid w:val="00CC0D99"/>
    <w:rsid w:val="00CC0E07"/>
    <w:rsid w:val="00CC0FEF"/>
    <w:rsid w:val="00CC17B1"/>
    <w:rsid w:val="00CC1EB4"/>
    <w:rsid w:val="00CC2C95"/>
    <w:rsid w:val="00CC336E"/>
    <w:rsid w:val="00CC33DD"/>
    <w:rsid w:val="00CC5378"/>
    <w:rsid w:val="00CC5A65"/>
    <w:rsid w:val="00CC5BD9"/>
    <w:rsid w:val="00CC5CFC"/>
    <w:rsid w:val="00CC67D3"/>
    <w:rsid w:val="00CC6C5E"/>
    <w:rsid w:val="00CD0061"/>
    <w:rsid w:val="00CD1B4D"/>
    <w:rsid w:val="00CD1E8F"/>
    <w:rsid w:val="00CD49AC"/>
    <w:rsid w:val="00CD4BE8"/>
    <w:rsid w:val="00CD4D19"/>
    <w:rsid w:val="00CD76ED"/>
    <w:rsid w:val="00CE0ABF"/>
    <w:rsid w:val="00CE1B35"/>
    <w:rsid w:val="00CE33EC"/>
    <w:rsid w:val="00CE3836"/>
    <w:rsid w:val="00CE471C"/>
    <w:rsid w:val="00CE47EF"/>
    <w:rsid w:val="00CE4A1D"/>
    <w:rsid w:val="00CE52EC"/>
    <w:rsid w:val="00CE6731"/>
    <w:rsid w:val="00CE7906"/>
    <w:rsid w:val="00CF02CF"/>
    <w:rsid w:val="00CF1F34"/>
    <w:rsid w:val="00CF2054"/>
    <w:rsid w:val="00CF36BF"/>
    <w:rsid w:val="00CF63DC"/>
    <w:rsid w:val="00CF6502"/>
    <w:rsid w:val="00CF74B9"/>
    <w:rsid w:val="00CF78F1"/>
    <w:rsid w:val="00D003D9"/>
    <w:rsid w:val="00D00CA4"/>
    <w:rsid w:val="00D03A82"/>
    <w:rsid w:val="00D03B4A"/>
    <w:rsid w:val="00D03C29"/>
    <w:rsid w:val="00D05732"/>
    <w:rsid w:val="00D05FE0"/>
    <w:rsid w:val="00D07758"/>
    <w:rsid w:val="00D07AE7"/>
    <w:rsid w:val="00D07F34"/>
    <w:rsid w:val="00D112F8"/>
    <w:rsid w:val="00D11B46"/>
    <w:rsid w:val="00D12150"/>
    <w:rsid w:val="00D12A25"/>
    <w:rsid w:val="00D12A28"/>
    <w:rsid w:val="00D12D85"/>
    <w:rsid w:val="00D14189"/>
    <w:rsid w:val="00D171F2"/>
    <w:rsid w:val="00D205B6"/>
    <w:rsid w:val="00D20AA7"/>
    <w:rsid w:val="00D20C63"/>
    <w:rsid w:val="00D21E5D"/>
    <w:rsid w:val="00D220FE"/>
    <w:rsid w:val="00D25366"/>
    <w:rsid w:val="00D2563A"/>
    <w:rsid w:val="00D2668E"/>
    <w:rsid w:val="00D267A1"/>
    <w:rsid w:val="00D26C78"/>
    <w:rsid w:val="00D309BC"/>
    <w:rsid w:val="00D314E2"/>
    <w:rsid w:val="00D31833"/>
    <w:rsid w:val="00D325EC"/>
    <w:rsid w:val="00D34CD1"/>
    <w:rsid w:val="00D3563B"/>
    <w:rsid w:val="00D36A03"/>
    <w:rsid w:val="00D3766B"/>
    <w:rsid w:val="00D37A3E"/>
    <w:rsid w:val="00D40B7A"/>
    <w:rsid w:val="00D4195A"/>
    <w:rsid w:val="00D43A65"/>
    <w:rsid w:val="00D43DC7"/>
    <w:rsid w:val="00D43F64"/>
    <w:rsid w:val="00D44336"/>
    <w:rsid w:val="00D44F3F"/>
    <w:rsid w:val="00D45854"/>
    <w:rsid w:val="00D45CA1"/>
    <w:rsid w:val="00D464B2"/>
    <w:rsid w:val="00D47291"/>
    <w:rsid w:val="00D50496"/>
    <w:rsid w:val="00D5162B"/>
    <w:rsid w:val="00D51CEF"/>
    <w:rsid w:val="00D51DBE"/>
    <w:rsid w:val="00D52629"/>
    <w:rsid w:val="00D528DC"/>
    <w:rsid w:val="00D5451C"/>
    <w:rsid w:val="00D55024"/>
    <w:rsid w:val="00D55CD8"/>
    <w:rsid w:val="00D56236"/>
    <w:rsid w:val="00D572B7"/>
    <w:rsid w:val="00D578EA"/>
    <w:rsid w:val="00D57E50"/>
    <w:rsid w:val="00D60692"/>
    <w:rsid w:val="00D61339"/>
    <w:rsid w:val="00D61618"/>
    <w:rsid w:val="00D61C21"/>
    <w:rsid w:val="00D625CC"/>
    <w:rsid w:val="00D63406"/>
    <w:rsid w:val="00D65D09"/>
    <w:rsid w:val="00D65EA3"/>
    <w:rsid w:val="00D675E5"/>
    <w:rsid w:val="00D67985"/>
    <w:rsid w:val="00D710EE"/>
    <w:rsid w:val="00D711BC"/>
    <w:rsid w:val="00D713D1"/>
    <w:rsid w:val="00D71CB3"/>
    <w:rsid w:val="00D72013"/>
    <w:rsid w:val="00D721C8"/>
    <w:rsid w:val="00D732B8"/>
    <w:rsid w:val="00D7365A"/>
    <w:rsid w:val="00D738AB"/>
    <w:rsid w:val="00D75665"/>
    <w:rsid w:val="00D75A52"/>
    <w:rsid w:val="00D75A73"/>
    <w:rsid w:val="00D75B7D"/>
    <w:rsid w:val="00D76277"/>
    <w:rsid w:val="00D764AC"/>
    <w:rsid w:val="00D80CCE"/>
    <w:rsid w:val="00D80DFD"/>
    <w:rsid w:val="00D80F4C"/>
    <w:rsid w:val="00D81D22"/>
    <w:rsid w:val="00D82160"/>
    <w:rsid w:val="00D82393"/>
    <w:rsid w:val="00D829BF"/>
    <w:rsid w:val="00D82AC5"/>
    <w:rsid w:val="00D82D91"/>
    <w:rsid w:val="00D82E30"/>
    <w:rsid w:val="00D853A5"/>
    <w:rsid w:val="00D8544E"/>
    <w:rsid w:val="00D859DA"/>
    <w:rsid w:val="00D8643C"/>
    <w:rsid w:val="00D874D4"/>
    <w:rsid w:val="00D903A7"/>
    <w:rsid w:val="00D905F2"/>
    <w:rsid w:val="00D9131C"/>
    <w:rsid w:val="00D91455"/>
    <w:rsid w:val="00D9178E"/>
    <w:rsid w:val="00D92548"/>
    <w:rsid w:val="00D92B05"/>
    <w:rsid w:val="00D92BC6"/>
    <w:rsid w:val="00D938C1"/>
    <w:rsid w:val="00D9460D"/>
    <w:rsid w:val="00D9474E"/>
    <w:rsid w:val="00D9534B"/>
    <w:rsid w:val="00D95E71"/>
    <w:rsid w:val="00D96C9A"/>
    <w:rsid w:val="00D972A4"/>
    <w:rsid w:val="00D97A45"/>
    <w:rsid w:val="00DA0B31"/>
    <w:rsid w:val="00DA151F"/>
    <w:rsid w:val="00DA179C"/>
    <w:rsid w:val="00DA28E3"/>
    <w:rsid w:val="00DA48FD"/>
    <w:rsid w:val="00DA558C"/>
    <w:rsid w:val="00DA55CF"/>
    <w:rsid w:val="00DA75D3"/>
    <w:rsid w:val="00DA7B28"/>
    <w:rsid w:val="00DB00D4"/>
    <w:rsid w:val="00DB0701"/>
    <w:rsid w:val="00DB0831"/>
    <w:rsid w:val="00DB0886"/>
    <w:rsid w:val="00DB0947"/>
    <w:rsid w:val="00DB2C41"/>
    <w:rsid w:val="00DB391F"/>
    <w:rsid w:val="00DB49CD"/>
    <w:rsid w:val="00DB5E60"/>
    <w:rsid w:val="00DB68E3"/>
    <w:rsid w:val="00DB6ADC"/>
    <w:rsid w:val="00DB6E6C"/>
    <w:rsid w:val="00DB7D32"/>
    <w:rsid w:val="00DC072C"/>
    <w:rsid w:val="00DC0AA6"/>
    <w:rsid w:val="00DC0AF4"/>
    <w:rsid w:val="00DC1A39"/>
    <w:rsid w:val="00DC1E3C"/>
    <w:rsid w:val="00DC249F"/>
    <w:rsid w:val="00DC2741"/>
    <w:rsid w:val="00DC37AD"/>
    <w:rsid w:val="00DC3ECA"/>
    <w:rsid w:val="00DC41CC"/>
    <w:rsid w:val="00DC4541"/>
    <w:rsid w:val="00DC482A"/>
    <w:rsid w:val="00DC5E92"/>
    <w:rsid w:val="00DC672A"/>
    <w:rsid w:val="00DC6F07"/>
    <w:rsid w:val="00DD01C3"/>
    <w:rsid w:val="00DD16C4"/>
    <w:rsid w:val="00DD1BF8"/>
    <w:rsid w:val="00DD22DF"/>
    <w:rsid w:val="00DD2601"/>
    <w:rsid w:val="00DD380C"/>
    <w:rsid w:val="00DD3A9A"/>
    <w:rsid w:val="00DD4235"/>
    <w:rsid w:val="00DD4FAC"/>
    <w:rsid w:val="00DD5B90"/>
    <w:rsid w:val="00DD5F66"/>
    <w:rsid w:val="00DD61D7"/>
    <w:rsid w:val="00DD62AB"/>
    <w:rsid w:val="00DD7432"/>
    <w:rsid w:val="00DD77F3"/>
    <w:rsid w:val="00DE1B16"/>
    <w:rsid w:val="00DE4684"/>
    <w:rsid w:val="00DE46B2"/>
    <w:rsid w:val="00DE481B"/>
    <w:rsid w:val="00DE4C44"/>
    <w:rsid w:val="00DE54C2"/>
    <w:rsid w:val="00DE5906"/>
    <w:rsid w:val="00DE5EA5"/>
    <w:rsid w:val="00DE63E3"/>
    <w:rsid w:val="00DE6E29"/>
    <w:rsid w:val="00DE6F28"/>
    <w:rsid w:val="00DE765B"/>
    <w:rsid w:val="00DE7874"/>
    <w:rsid w:val="00DF0897"/>
    <w:rsid w:val="00DF0A61"/>
    <w:rsid w:val="00DF0C4E"/>
    <w:rsid w:val="00DF0F2A"/>
    <w:rsid w:val="00DF1481"/>
    <w:rsid w:val="00DF14B8"/>
    <w:rsid w:val="00DF155E"/>
    <w:rsid w:val="00DF2684"/>
    <w:rsid w:val="00DF29DE"/>
    <w:rsid w:val="00DF4816"/>
    <w:rsid w:val="00DF4826"/>
    <w:rsid w:val="00DF4B08"/>
    <w:rsid w:val="00DF5D47"/>
    <w:rsid w:val="00DF701B"/>
    <w:rsid w:val="00DF78F2"/>
    <w:rsid w:val="00DF7F6A"/>
    <w:rsid w:val="00E0068A"/>
    <w:rsid w:val="00E00D14"/>
    <w:rsid w:val="00E01197"/>
    <w:rsid w:val="00E01214"/>
    <w:rsid w:val="00E0272E"/>
    <w:rsid w:val="00E0421D"/>
    <w:rsid w:val="00E05302"/>
    <w:rsid w:val="00E05B64"/>
    <w:rsid w:val="00E074BC"/>
    <w:rsid w:val="00E104CC"/>
    <w:rsid w:val="00E10F68"/>
    <w:rsid w:val="00E10F70"/>
    <w:rsid w:val="00E1101B"/>
    <w:rsid w:val="00E12442"/>
    <w:rsid w:val="00E12EBD"/>
    <w:rsid w:val="00E149B5"/>
    <w:rsid w:val="00E149E2"/>
    <w:rsid w:val="00E16FCF"/>
    <w:rsid w:val="00E179DD"/>
    <w:rsid w:val="00E17E23"/>
    <w:rsid w:val="00E2027E"/>
    <w:rsid w:val="00E20B8F"/>
    <w:rsid w:val="00E20FEF"/>
    <w:rsid w:val="00E21D8E"/>
    <w:rsid w:val="00E2228A"/>
    <w:rsid w:val="00E22844"/>
    <w:rsid w:val="00E2292B"/>
    <w:rsid w:val="00E22B5C"/>
    <w:rsid w:val="00E23268"/>
    <w:rsid w:val="00E2348D"/>
    <w:rsid w:val="00E24739"/>
    <w:rsid w:val="00E24C77"/>
    <w:rsid w:val="00E24D81"/>
    <w:rsid w:val="00E2654D"/>
    <w:rsid w:val="00E26DD1"/>
    <w:rsid w:val="00E2761C"/>
    <w:rsid w:val="00E33C55"/>
    <w:rsid w:val="00E33DC2"/>
    <w:rsid w:val="00E3488B"/>
    <w:rsid w:val="00E34E63"/>
    <w:rsid w:val="00E403CD"/>
    <w:rsid w:val="00E413DA"/>
    <w:rsid w:val="00E43387"/>
    <w:rsid w:val="00E43672"/>
    <w:rsid w:val="00E43AA7"/>
    <w:rsid w:val="00E50B1B"/>
    <w:rsid w:val="00E51C0A"/>
    <w:rsid w:val="00E537A3"/>
    <w:rsid w:val="00E53945"/>
    <w:rsid w:val="00E53BD0"/>
    <w:rsid w:val="00E544CF"/>
    <w:rsid w:val="00E5507E"/>
    <w:rsid w:val="00E55153"/>
    <w:rsid w:val="00E5565C"/>
    <w:rsid w:val="00E55DDB"/>
    <w:rsid w:val="00E573D0"/>
    <w:rsid w:val="00E5745D"/>
    <w:rsid w:val="00E57CBA"/>
    <w:rsid w:val="00E6001C"/>
    <w:rsid w:val="00E60153"/>
    <w:rsid w:val="00E60CB3"/>
    <w:rsid w:val="00E6189A"/>
    <w:rsid w:val="00E61F85"/>
    <w:rsid w:val="00E62296"/>
    <w:rsid w:val="00E62660"/>
    <w:rsid w:val="00E62748"/>
    <w:rsid w:val="00E62B8E"/>
    <w:rsid w:val="00E63338"/>
    <w:rsid w:val="00E6397F"/>
    <w:rsid w:val="00E63A96"/>
    <w:rsid w:val="00E660E5"/>
    <w:rsid w:val="00E66215"/>
    <w:rsid w:val="00E66A33"/>
    <w:rsid w:val="00E72C26"/>
    <w:rsid w:val="00E73722"/>
    <w:rsid w:val="00E74B0E"/>
    <w:rsid w:val="00E763DE"/>
    <w:rsid w:val="00E769FD"/>
    <w:rsid w:val="00E774B7"/>
    <w:rsid w:val="00E776EB"/>
    <w:rsid w:val="00E815E3"/>
    <w:rsid w:val="00E82793"/>
    <w:rsid w:val="00E83625"/>
    <w:rsid w:val="00E84A75"/>
    <w:rsid w:val="00E86C78"/>
    <w:rsid w:val="00E874A9"/>
    <w:rsid w:val="00E903E1"/>
    <w:rsid w:val="00E91113"/>
    <w:rsid w:val="00E916FD"/>
    <w:rsid w:val="00E91E39"/>
    <w:rsid w:val="00E92B61"/>
    <w:rsid w:val="00E9313E"/>
    <w:rsid w:val="00E93AC3"/>
    <w:rsid w:val="00E943BB"/>
    <w:rsid w:val="00E94D0C"/>
    <w:rsid w:val="00E960B0"/>
    <w:rsid w:val="00E96C39"/>
    <w:rsid w:val="00EA0B3F"/>
    <w:rsid w:val="00EA0B50"/>
    <w:rsid w:val="00EA0CB3"/>
    <w:rsid w:val="00EA1286"/>
    <w:rsid w:val="00EA234A"/>
    <w:rsid w:val="00EA23C0"/>
    <w:rsid w:val="00EA24D0"/>
    <w:rsid w:val="00EA38E9"/>
    <w:rsid w:val="00EA3F08"/>
    <w:rsid w:val="00EA48D5"/>
    <w:rsid w:val="00EA551F"/>
    <w:rsid w:val="00EA63B7"/>
    <w:rsid w:val="00EA68C1"/>
    <w:rsid w:val="00EA6BD4"/>
    <w:rsid w:val="00EA74BA"/>
    <w:rsid w:val="00EA7C87"/>
    <w:rsid w:val="00EB0CF6"/>
    <w:rsid w:val="00EB284D"/>
    <w:rsid w:val="00EB42D7"/>
    <w:rsid w:val="00EB4454"/>
    <w:rsid w:val="00EB4E63"/>
    <w:rsid w:val="00EB4F89"/>
    <w:rsid w:val="00EB6993"/>
    <w:rsid w:val="00EB6C77"/>
    <w:rsid w:val="00EB6F5B"/>
    <w:rsid w:val="00EB78A2"/>
    <w:rsid w:val="00EC31E4"/>
    <w:rsid w:val="00EC3C77"/>
    <w:rsid w:val="00EC63F5"/>
    <w:rsid w:val="00EC681C"/>
    <w:rsid w:val="00EC6941"/>
    <w:rsid w:val="00EC6B97"/>
    <w:rsid w:val="00EC6CD7"/>
    <w:rsid w:val="00ED0BF5"/>
    <w:rsid w:val="00ED103F"/>
    <w:rsid w:val="00ED1806"/>
    <w:rsid w:val="00ED2D11"/>
    <w:rsid w:val="00ED35C1"/>
    <w:rsid w:val="00ED43FB"/>
    <w:rsid w:val="00ED5630"/>
    <w:rsid w:val="00ED5D9C"/>
    <w:rsid w:val="00EE0FC2"/>
    <w:rsid w:val="00EE12AA"/>
    <w:rsid w:val="00EE16C6"/>
    <w:rsid w:val="00EE23CD"/>
    <w:rsid w:val="00EE2EDA"/>
    <w:rsid w:val="00EE3424"/>
    <w:rsid w:val="00EE3493"/>
    <w:rsid w:val="00EE45D1"/>
    <w:rsid w:val="00EE610F"/>
    <w:rsid w:val="00EE6B28"/>
    <w:rsid w:val="00EE7F68"/>
    <w:rsid w:val="00EF0657"/>
    <w:rsid w:val="00EF0C49"/>
    <w:rsid w:val="00EF2993"/>
    <w:rsid w:val="00EF2B49"/>
    <w:rsid w:val="00EF347D"/>
    <w:rsid w:val="00EF389A"/>
    <w:rsid w:val="00EF3B8C"/>
    <w:rsid w:val="00EF3CCE"/>
    <w:rsid w:val="00EF4625"/>
    <w:rsid w:val="00EF5557"/>
    <w:rsid w:val="00EF6A30"/>
    <w:rsid w:val="00EF741A"/>
    <w:rsid w:val="00F00A44"/>
    <w:rsid w:val="00F00AB4"/>
    <w:rsid w:val="00F02BC9"/>
    <w:rsid w:val="00F0362D"/>
    <w:rsid w:val="00F1051F"/>
    <w:rsid w:val="00F11088"/>
    <w:rsid w:val="00F11206"/>
    <w:rsid w:val="00F113D2"/>
    <w:rsid w:val="00F11899"/>
    <w:rsid w:val="00F11E70"/>
    <w:rsid w:val="00F12557"/>
    <w:rsid w:val="00F156F0"/>
    <w:rsid w:val="00F1640A"/>
    <w:rsid w:val="00F1653C"/>
    <w:rsid w:val="00F16838"/>
    <w:rsid w:val="00F1786F"/>
    <w:rsid w:val="00F17DAF"/>
    <w:rsid w:val="00F20E14"/>
    <w:rsid w:val="00F22C5B"/>
    <w:rsid w:val="00F2390F"/>
    <w:rsid w:val="00F23EDF"/>
    <w:rsid w:val="00F2413A"/>
    <w:rsid w:val="00F25068"/>
    <w:rsid w:val="00F25DDF"/>
    <w:rsid w:val="00F25E65"/>
    <w:rsid w:val="00F25EAD"/>
    <w:rsid w:val="00F30F88"/>
    <w:rsid w:val="00F31345"/>
    <w:rsid w:val="00F32283"/>
    <w:rsid w:val="00F32771"/>
    <w:rsid w:val="00F33BC6"/>
    <w:rsid w:val="00F33F88"/>
    <w:rsid w:val="00F340DA"/>
    <w:rsid w:val="00F3445D"/>
    <w:rsid w:val="00F35A44"/>
    <w:rsid w:val="00F35F6D"/>
    <w:rsid w:val="00F37C5D"/>
    <w:rsid w:val="00F37E70"/>
    <w:rsid w:val="00F40930"/>
    <w:rsid w:val="00F426E1"/>
    <w:rsid w:val="00F44D6D"/>
    <w:rsid w:val="00F4559A"/>
    <w:rsid w:val="00F47AFF"/>
    <w:rsid w:val="00F51497"/>
    <w:rsid w:val="00F55C00"/>
    <w:rsid w:val="00F56824"/>
    <w:rsid w:val="00F57651"/>
    <w:rsid w:val="00F61501"/>
    <w:rsid w:val="00F61E8B"/>
    <w:rsid w:val="00F6246A"/>
    <w:rsid w:val="00F62BFC"/>
    <w:rsid w:val="00F62F1A"/>
    <w:rsid w:val="00F6302C"/>
    <w:rsid w:val="00F6487D"/>
    <w:rsid w:val="00F67B16"/>
    <w:rsid w:val="00F70007"/>
    <w:rsid w:val="00F72FA7"/>
    <w:rsid w:val="00F7309E"/>
    <w:rsid w:val="00F734DF"/>
    <w:rsid w:val="00F7486D"/>
    <w:rsid w:val="00F74A51"/>
    <w:rsid w:val="00F76334"/>
    <w:rsid w:val="00F768AA"/>
    <w:rsid w:val="00F76A0C"/>
    <w:rsid w:val="00F7716A"/>
    <w:rsid w:val="00F77208"/>
    <w:rsid w:val="00F816C4"/>
    <w:rsid w:val="00F826F6"/>
    <w:rsid w:val="00F83536"/>
    <w:rsid w:val="00F8374E"/>
    <w:rsid w:val="00F84D1E"/>
    <w:rsid w:val="00F8592E"/>
    <w:rsid w:val="00F86CC8"/>
    <w:rsid w:val="00F870C4"/>
    <w:rsid w:val="00F87D6A"/>
    <w:rsid w:val="00F90254"/>
    <w:rsid w:val="00F90477"/>
    <w:rsid w:val="00F91326"/>
    <w:rsid w:val="00F92698"/>
    <w:rsid w:val="00F92E8A"/>
    <w:rsid w:val="00F93AD0"/>
    <w:rsid w:val="00F95589"/>
    <w:rsid w:val="00F962D2"/>
    <w:rsid w:val="00F96C5F"/>
    <w:rsid w:val="00FA09D2"/>
    <w:rsid w:val="00FA0AE8"/>
    <w:rsid w:val="00FA1267"/>
    <w:rsid w:val="00FA2CA8"/>
    <w:rsid w:val="00FA3668"/>
    <w:rsid w:val="00FA4DCA"/>
    <w:rsid w:val="00FA5459"/>
    <w:rsid w:val="00FA66D8"/>
    <w:rsid w:val="00FA7EEF"/>
    <w:rsid w:val="00FB356E"/>
    <w:rsid w:val="00FB6223"/>
    <w:rsid w:val="00FB622C"/>
    <w:rsid w:val="00FB6241"/>
    <w:rsid w:val="00FB6392"/>
    <w:rsid w:val="00FB6CAC"/>
    <w:rsid w:val="00FC060E"/>
    <w:rsid w:val="00FC0DDE"/>
    <w:rsid w:val="00FC1A97"/>
    <w:rsid w:val="00FC2325"/>
    <w:rsid w:val="00FC3BB7"/>
    <w:rsid w:val="00FC5B55"/>
    <w:rsid w:val="00FC6BB2"/>
    <w:rsid w:val="00FC6E0F"/>
    <w:rsid w:val="00FC78DA"/>
    <w:rsid w:val="00FC7CE1"/>
    <w:rsid w:val="00FD1584"/>
    <w:rsid w:val="00FD17F6"/>
    <w:rsid w:val="00FD2A14"/>
    <w:rsid w:val="00FD2D78"/>
    <w:rsid w:val="00FD2F8B"/>
    <w:rsid w:val="00FD3335"/>
    <w:rsid w:val="00FD37C7"/>
    <w:rsid w:val="00FD5043"/>
    <w:rsid w:val="00FD515C"/>
    <w:rsid w:val="00FD52D4"/>
    <w:rsid w:val="00FD53F8"/>
    <w:rsid w:val="00FD71FA"/>
    <w:rsid w:val="00FD79DE"/>
    <w:rsid w:val="00FD7EA7"/>
    <w:rsid w:val="00FE0E23"/>
    <w:rsid w:val="00FE1C39"/>
    <w:rsid w:val="00FE263B"/>
    <w:rsid w:val="00FE4394"/>
    <w:rsid w:val="00FE5B23"/>
    <w:rsid w:val="00FE762E"/>
    <w:rsid w:val="00FE76E6"/>
    <w:rsid w:val="00FE7E49"/>
    <w:rsid w:val="00FF18A3"/>
    <w:rsid w:val="00FF28EB"/>
    <w:rsid w:val="00FF52E3"/>
    <w:rsid w:val="00FF550A"/>
    <w:rsid w:val="00FF5A55"/>
    <w:rsid w:val="00FF6D27"/>
    <w:rsid w:val="00FF6FF6"/>
    <w:rsid w:val="00FF75D8"/>
    <w:rsid w:val="00FF7DB9"/>
    <w:rsid w:val="75828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9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1F75"/>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399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58E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158E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158E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158E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158E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158E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58E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SHEADER2">
    <w:name w:val="ETS_HEADER_2"/>
    <w:basedOn w:val="Heading2"/>
    <w:next w:val="Normal"/>
    <w:link w:val="ETSHEADER2CharChar"/>
    <w:autoRedefine/>
    <w:qFormat/>
    <w:rsid w:val="00B03998"/>
    <w:pPr>
      <w:keepLines w:val="0"/>
      <w:spacing w:before="240" w:after="60" w:line="240" w:lineRule="auto"/>
      <w:ind w:left="1276" w:hanging="1276"/>
    </w:pPr>
    <w:rPr>
      <w:rFonts w:ascii="Arial" w:eastAsia="Times New Roman" w:hAnsi="Arial" w:cs="Arial"/>
      <w:bCs/>
      <w:i/>
      <w:iCs/>
      <w:color w:val="auto"/>
      <w:sz w:val="32"/>
      <w:szCs w:val="32"/>
    </w:rPr>
  </w:style>
  <w:style w:type="character" w:customStyle="1" w:styleId="ETSHEADER2CharChar">
    <w:name w:val="ETS_HEADER_2 Char Char"/>
    <w:link w:val="ETSHEADER2"/>
    <w:rsid w:val="00B03998"/>
    <w:rPr>
      <w:rFonts w:ascii="Arial" w:eastAsia="Times New Roman" w:hAnsi="Arial" w:cs="Arial"/>
      <w:bCs/>
      <w:i/>
      <w:iCs/>
      <w:sz w:val="32"/>
      <w:szCs w:val="32"/>
    </w:rPr>
  </w:style>
  <w:style w:type="paragraph" w:customStyle="1" w:styleId="ETSNORMAL10pt">
    <w:name w:val="ETS_NORMAL_10pt"/>
    <w:basedOn w:val="Normal"/>
    <w:link w:val="ETSNORMAL10ptChar"/>
    <w:qFormat/>
    <w:rsid w:val="00B03998"/>
    <w:pPr>
      <w:spacing w:after="0" w:line="240" w:lineRule="auto"/>
      <w:ind w:left="-993"/>
    </w:pPr>
    <w:rPr>
      <w:rFonts w:ascii="Arial" w:eastAsia="Times New Roman" w:hAnsi="Arial" w:cs="Times New Roman"/>
      <w:sz w:val="20"/>
      <w:szCs w:val="24"/>
      <w:lang w:val="en-US"/>
    </w:rPr>
  </w:style>
  <w:style w:type="character" w:customStyle="1" w:styleId="ETSNORMAL10ptChar">
    <w:name w:val="ETS_NORMAL_10pt Char"/>
    <w:link w:val="ETSNORMAL10pt"/>
    <w:rsid w:val="00B03998"/>
    <w:rPr>
      <w:rFonts w:ascii="Arial" w:eastAsia="Times New Roman" w:hAnsi="Arial" w:cs="Times New Roman"/>
      <w:sz w:val="20"/>
      <w:szCs w:val="24"/>
      <w:lang w:val="en-US"/>
    </w:rPr>
  </w:style>
  <w:style w:type="character" w:customStyle="1" w:styleId="Heading2Char">
    <w:name w:val="Heading 2 Char"/>
    <w:basedOn w:val="DefaultParagraphFont"/>
    <w:link w:val="Heading2"/>
    <w:uiPriority w:val="9"/>
    <w:rsid w:val="00B03998"/>
    <w:rPr>
      <w:rFonts w:asciiTheme="majorHAnsi" w:eastAsiaTheme="majorEastAsia" w:hAnsiTheme="majorHAnsi" w:cstheme="majorBidi"/>
      <w:color w:val="2E74B5" w:themeColor="accent1" w:themeShade="BF"/>
      <w:sz w:val="26"/>
      <w:szCs w:val="26"/>
    </w:rPr>
  </w:style>
  <w:style w:type="paragraph" w:customStyle="1" w:styleId="ETSNORMAL12pt">
    <w:name w:val="ETS_NORMAL_12pt"/>
    <w:basedOn w:val="Normal"/>
    <w:link w:val="ETSNORMAL12ptCharChar"/>
    <w:qFormat/>
    <w:rsid w:val="00B03998"/>
    <w:pPr>
      <w:shd w:val="clear" w:color="auto" w:fill="FFFFFF"/>
      <w:spacing w:after="0" w:line="240" w:lineRule="auto"/>
      <w:ind w:left="-567"/>
      <w:jc w:val="both"/>
    </w:pPr>
    <w:rPr>
      <w:rFonts w:ascii="Arial" w:eastAsia="Times New Roman" w:hAnsi="Arial" w:cs="Times New Roman"/>
      <w:snapToGrid w:val="0"/>
      <w:sz w:val="24"/>
      <w:szCs w:val="24"/>
    </w:rPr>
  </w:style>
  <w:style w:type="character" w:customStyle="1" w:styleId="ETSNORMAL12ptCharChar">
    <w:name w:val="ETS_NORMAL_12pt Char Char"/>
    <w:link w:val="ETSNORMAL12pt"/>
    <w:rsid w:val="00B03998"/>
    <w:rPr>
      <w:rFonts w:ascii="Arial" w:eastAsia="Times New Roman" w:hAnsi="Arial" w:cs="Times New Roman"/>
      <w:snapToGrid w:val="0"/>
      <w:sz w:val="24"/>
      <w:szCs w:val="24"/>
      <w:shd w:val="clear" w:color="auto" w:fill="FFFFFF"/>
    </w:rPr>
  </w:style>
  <w:style w:type="paragraph" w:customStyle="1" w:styleId="ETSNORMAL8pt">
    <w:name w:val="ETS_NORMAL_8pt"/>
    <w:basedOn w:val="Normal"/>
    <w:qFormat/>
    <w:rsid w:val="00B03998"/>
    <w:pPr>
      <w:spacing w:after="0" w:line="240" w:lineRule="auto"/>
    </w:pPr>
    <w:rPr>
      <w:rFonts w:ascii="Arial" w:eastAsia="Times New Roman" w:hAnsi="Arial" w:cs="Times New Roman"/>
      <w:sz w:val="16"/>
      <w:szCs w:val="24"/>
    </w:rPr>
  </w:style>
  <w:style w:type="character" w:customStyle="1" w:styleId="Heading1Char">
    <w:name w:val="Heading 1 Char"/>
    <w:basedOn w:val="DefaultParagraphFont"/>
    <w:link w:val="Heading1"/>
    <w:uiPriority w:val="9"/>
    <w:rsid w:val="00541F7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158E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158E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158E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158E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158E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158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158E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83536"/>
    <w:pPr>
      <w:ind w:left="720"/>
      <w:contextualSpacing/>
    </w:pPr>
  </w:style>
  <w:style w:type="table" w:styleId="TableGrid">
    <w:name w:val="Table Grid"/>
    <w:basedOn w:val="TableNormal"/>
    <w:uiPriority w:val="39"/>
    <w:rsid w:val="00774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F7F6A"/>
    <w:pPr>
      <w:numPr>
        <w:numId w:val="0"/>
      </w:numPr>
      <w:outlineLvl w:val="9"/>
    </w:pPr>
    <w:rPr>
      <w:lang w:val="en-US"/>
    </w:rPr>
  </w:style>
  <w:style w:type="paragraph" w:styleId="TOC1">
    <w:name w:val="toc 1"/>
    <w:basedOn w:val="Normal"/>
    <w:next w:val="Normal"/>
    <w:autoRedefine/>
    <w:uiPriority w:val="39"/>
    <w:unhideWhenUsed/>
    <w:rsid w:val="00975DD4"/>
    <w:pPr>
      <w:tabs>
        <w:tab w:val="left" w:pos="440"/>
        <w:tab w:val="right" w:leader="dot" w:pos="9016"/>
      </w:tabs>
      <w:spacing w:after="100"/>
    </w:pPr>
  </w:style>
  <w:style w:type="paragraph" w:styleId="TOC2">
    <w:name w:val="toc 2"/>
    <w:basedOn w:val="Normal"/>
    <w:next w:val="Normal"/>
    <w:autoRedefine/>
    <w:uiPriority w:val="39"/>
    <w:unhideWhenUsed/>
    <w:rsid w:val="003D1857"/>
    <w:pPr>
      <w:tabs>
        <w:tab w:val="left" w:pos="880"/>
        <w:tab w:val="right" w:leader="dot" w:pos="9016"/>
      </w:tabs>
      <w:spacing w:after="100"/>
      <w:ind w:left="220"/>
    </w:pPr>
  </w:style>
  <w:style w:type="character" w:styleId="Hyperlink">
    <w:name w:val="Hyperlink"/>
    <w:basedOn w:val="DefaultParagraphFont"/>
    <w:uiPriority w:val="99"/>
    <w:unhideWhenUsed/>
    <w:rsid w:val="00DF7F6A"/>
    <w:rPr>
      <w:color w:val="0563C1" w:themeColor="hyperlink"/>
      <w:u w:val="single"/>
    </w:rPr>
  </w:style>
  <w:style w:type="paragraph" w:styleId="Header">
    <w:name w:val="header"/>
    <w:basedOn w:val="Normal"/>
    <w:link w:val="HeaderChar"/>
    <w:uiPriority w:val="99"/>
    <w:unhideWhenUsed/>
    <w:rsid w:val="00910C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C5D"/>
  </w:style>
  <w:style w:type="paragraph" w:styleId="Footer">
    <w:name w:val="footer"/>
    <w:basedOn w:val="Normal"/>
    <w:link w:val="FooterChar"/>
    <w:uiPriority w:val="99"/>
    <w:unhideWhenUsed/>
    <w:rsid w:val="00910C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C5D"/>
  </w:style>
  <w:style w:type="character" w:styleId="CommentReference">
    <w:name w:val="annotation reference"/>
    <w:basedOn w:val="DefaultParagraphFont"/>
    <w:uiPriority w:val="99"/>
    <w:semiHidden/>
    <w:unhideWhenUsed/>
    <w:rsid w:val="00D171F2"/>
    <w:rPr>
      <w:sz w:val="16"/>
      <w:szCs w:val="16"/>
    </w:rPr>
  </w:style>
  <w:style w:type="paragraph" w:styleId="CommentText">
    <w:name w:val="annotation text"/>
    <w:basedOn w:val="Normal"/>
    <w:link w:val="CommentTextChar"/>
    <w:uiPriority w:val="99"/>
    <w:unhideWhenUsed/>
    <w:rsid w:val="00D171F2"/>
    <w:pPr>
      <w:spacing w:line="240" w:lineRule="auto"/>
    </w:pPr>
    <w:rPr>
      <w:sz w:val="20"/>
      <w:szCs w:val="20"/>
    </w:rPr>
  </w:style>
  <w:style w:type="character" w:customStyle="1" w:styleId="CommentTextChar">
    <w:name w:val="Comment Text Char"/>
    <w:basedOn w:val="DefaultParagraphFont"/>
    <w:link w:val="CommentText"/>
    <w:uiPriority w:val="99"/>
    <w:rsid w:val="00D171F2"/>
    <w:rPr>
      <w:sz w:val="20"/>
      <w:szCs w:val="20"/>
    </w:rPr>
  </w:style>
  <w:style w:type="paragraph" w:styleId="CommentSubject">
    <w:name w:val="annotation subject"/>
    <w:basedOn w:val="CommentText"/>
    <w:next w:val="CommentText"/>
    <w:link w:val="CommentSubjectChar"/>
    <w:uiPriority w:val="99"/>
    <w:semiHidden/>
    <w:unhideWhenUsed/>
    <w:rsid w:val="00D171F2"/>
    <w:rPr>
      <w:b/>
      <w:bCs/>
    </w:rPr>
  </w:style>
  <w:style w:type="character" w:customStyle="1" w:styleId="CommentSubjectChar">
    <w:name w:val="Comment Subject Char"/>
    <w:basedOn w:val="CommentTextChar"/>
    <w:link w:val="CommentSubject"/>
    <w:uiPriority w:val="99"/>
    <w:semiHidden/>
    <w:rsid w:val="00D171F2"/>
    <w:rPr>
      <w:b/>
      <w:bCs/>
      <w:sz w:val="20"/>
      <w:szCs w:val="20"/>
    </w:rPr>
  </w:style>
  <w:style w:type="paragraph" w:styleId="BalloonText">
    <w:name w:val="Balloon Text"/>
    <w:basedOn w:val="Normal"/>
    <w:link w:val="BalloonTextChar"/>
    <w:uiPriority w:val="99"/>
    <w:semiHidden/>
    <w:unhideWhenUsed/>
    <w:rsid w:val="00D17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1F2"/>
    <w:rPr>
      <w:rFonts w:ascii="Segoe UI" w:hAnsi="Segoe UI" w:cs="Segoe UI"/>
      <w:sz w:val="18"/>
      <w:szCs w:val="18"/>
    </w:rPr>
  </w:style>
  <w:style w:type="paragraph" w:styleId="TOC3">
    <w:name w:val="toc 3"/>
    <w:basedOn w:val="Normal"/>
    <w:next w:val="Normal"/>
    <w:autoRedefine/>
    <w:uiPriority w:val="39"/>
    <w:unhideWhenUsed/>
    <w:rsid w:val="00CB731A"/>
    <w:pPr>
      <w:tabs>
        <w:tab w:val="left" w:pos="1320"/>
        <w:tab w:val="right" w:leader="dot" w:pos="9016"/>
      </w:tabs>
      <w:spacing w:after="100"/>
      <w:ind w:left="440"/>
    </w:pPr>
  </w:style>
  <w:style w:type="table" w:customStyle="1" w:styleId="GridTable4-Accent31">
    <w:name w:val="Grid Table 4 - Accent 31"/>
    <w:basedOn w:val="TableNormal"/>
    <w:uiPriority w:val="49"/>
    <w:rsid w:val="00BB7B7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1">
    <w:name w:val="Grid Table 41"/>
    <w:basedOn w:val="TableNormal"/>
    <w:uiPriority w:val="49"/>
    <w:rsid w:val="00BB7B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2C66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6634"/>
    <w:rPr>
      <w:sz w:val="20"/>
      <w:szCs w:val="20"/>
    </w:rPr>
  </w:style>
  <w:style w:type="character" w:styleId="FootnoteReference">
    <w:name w:val="footnote reference"/>
    <w:basedOn w:val="DefaultParagraphFont"/>
    <w:uiPriority w:val="99"/>
    <w:semiHidden/>
    <w:unhideWhenUsed/>
    <w:rsid w:val="002C6634"/>
    <w:rPr>
      <w:vertAlign w:val="superscript"/>
    </w:rPr>
  </w:style>
  <w:style w:type="table" w:customStyle="1" w:styleId="GridTable42">
    <w:name w:val="Grid Table 42"/>
    <w:basedOn w:val="TableNormal"/>
    <w:uiPriority w:val="49"/>
    <w:rsid w:val="00B415E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50553C"/>
    <w:rPr>
      <w:color w:val="954F72" w:themeColor="followedHyperlink"/>
      <w:u w:val="single"/>
    </w:rPr>
  </w:style>
  <w:style w:type="table" w:customStyle="1" w:styleId="GridTable421">
    <w:name w:val="Grid Table 421"/>
    <w:basedOn w:val="TableNormal"/>
    <w:uiPriority w:val="49"/>
    <w:rsid w:val="00325F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325F66"/>
    <w:pPr>
      <w:spacing w:after="0" w:line="240" w:lineRule="auto"/>
    </w:pPr>
  </w:style>
  <w:style w:type="table" w:styleId="GridTable5Dark-Accent3">
    <w:name w:val="Grid Table 5 Dark Accent 3"/>
    <w:basedOn w:val="TableNormal"/>
    <w:uiPriority w:val="50"/>
    <w:rsid w:val="00DA7B2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PlaceholderText">
    <w:name w:val="Placeholder Text"/>
    <w:basedOn w:val="DefaultParagraphFont"/>
    <w:uiPriority w:val="99"/>
    <w:semiHidden/>
    <w:rsid w:val="00070355"/>
    <w:rPr>
      <w:color w:val="808080"/>
    </w:rPr>
  </w:style>
  <w:style w:type="table" w:customStyle="1" w:styleId="GridTable5Dark-Accent31">
    <w:name w:val="Grid Table 5 Dark - Accent 31"/>
    <w:basedOn w:val="TableNormal"/>
    <w:uiPriority w:val="50"/>
    <w:rsid w:val="00EE23C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EndnoteText">
    <w:name w:val="endnote text"/>
    <w:basedOn w:val="Normal"/>
    <w:link w:val="EndnoteTextChar"/>
    <w:uiPriority w:val="99"/>
    <w:semiHidden/>
    <w:unhideWhenUsed/>
    <w:rsid w:val="00B126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67F"/>
    <w:rPr>
      <w:sz w:val="20"/>
      <w:szCs w:val="20"/>
    </w:rPr>
  </w:style>
  <w:style w:type="character" w:styleId="EndnoteReference">
    <w:name w:val="endnote reference"/>
    <w:basedOn w:val="DefaultParagraphFont"/>
    <w:uiPriority w:val="99"/>
    <w:semiHidden/>
    <w:unhideWhenUsed/>
    <w:rsid w:val="00B1267F"/>
    <w:rPr>
      <w:vertAlign w:val="superscript"/>
    </w:rPr>
  </w:style>
  <w:style w:type="table" w:styleId="GridTable5Dark-Accent5">
    <w:name w:val="Grid Table 5 Dark Accent 5"/>
    <w:basedOn w:val="TableNormal"/>
    <w:uiPriority w:val="50"/>
    <w:rsid w:val="00F730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Mention">
    <w:name w:val="Mention"/>
    <w:basedOn w:val="DefaultParagraphFont"/>
    <w:uiPriority w:val="99"/>
    <w:semiHidden/>
    <w:unhideWhenUsed/>
    <w:rsid w:val="008F07FF"/>
    <w:rPr>
      <w:color w:val="2B579A"/>
      <w:shd w:val="clear" w:color="auto" w:fill="E6E6E6"/>
    </w:rPr>
  </w:style>
  <w:style w:type="character" w:styleId="UnresolvedMention">
    <w:name w:val="Unresolved Mention"/>
    <w:basedOn w:val="DefaultParagraphFont"/>
    <w:uiPriority w:val="99"/>
    <w:semiHidden/>
    <w:unhideWhenUsed/>
    <w:rsid w:val="00DC672A"/>
    <w:rPr>
      <w:color w:val="808080"/>
      <w:shd w:val="clear" w:color="auto" w:fill="E6E6E6"/>
    </w:rPr>
  </w:style>
  <w:style w:type="paragraph" w:styleId="NormalWeb">
    <w:name w:val="Normal (Web)"/>
    <w:basedOn w:val="Normal"/>
    <w:uiPriority w:val="99"/>
    <w:unhideWhenUsed/>
    <w:rsid w:val="00256E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DefaultParagraphFont"/>
    <w:rsid w:val="006D7562"/>
  </w:style>
  <w:style w:type="table" w:styleId="GridTable4-Accent1">
    <w:name w:val="Grid Table 4 Accent 1"/>
    <w:basedOn w:val="TableNormal"/>
    <w:uiPriority w:val="49"/>
    <w:rsid w:val="009C348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5335">
      <w:bodyDiv w:val="1"/>
      <w:marLeft w:val="0"/>
      <w:marRight w:val="0"/>
      <w:marTop w:val="0"/>
      <w:marBottom w:val="0"/>
      <w:divBdr>
        <w:top w:val="none" w:sz="0" w:space="0" w:color="auto"/>
        <w:left w:val="none" w:sz="0" w:space="0" w:color="auto"/>
        <w:bottom w:val="none" w:sz="0" w:space="0" w:color="auto"/>
        <w:right w:val="none" w:sz="0" w:space="0" w:color="auto"/>
      </w:divBdr>
    </w:div>
    <w:div w:id="99420149">
      <w:bodyDiv w:val="1"/>
      <w:marLeft w:val="0"/>
      <w:marRight w:val="0"/>
      <w:marTop w:val="0"/>
      <w:marBottom w:val="0"/>
      <w:divBdr>
        <w:top w:val="none" w:sz="0" w:space="0" w:color="auto"/>
        <w:left w:val="none" w:sz="0" w:space="0" w:color="auto"/>
        <w:bottom w:val="none" w:sz="0" w:space="0" w:color="auto"/>
        <w:right w:val="none" w:sz="0" w:space="0" w:color="auto"/>
      </w:divBdr>
    </w:div>
    <w:div w:id="123549568">
      <w:bodyDiv w:val="1"/>
      <w:marLeft w:val="0"/>
      <w:marRight w:val="0"/>
      <w:marTop w:val="0"/>
      <w:marBottom w:val="0"/>
      <w:divBdr>
        <w:top w:val="none" w:sz="0" w:space="0" w:color="auto"/>
        <w:left w:val="none" w:sz="0" w:space="0" w:color="auto"/>
        <w:bottom w:val="none" w:sz="0" w:space="0" w:color="auto"/>
        <w:right w:val="none" w:sz="0" w:space="0" w:color="auto"/>
      </w:divBdr>
    </w:div>
    <w:div w:id="224877321">
      <w:bodyDiv w:val="1"/>
      <w:marLeft w:val="0"/>
      <w:marRight w:val="0"/>
      <w:marTop w:val="0"/>
      <w:marBottom w:val="0"/>
      <w:divBdr>
        <w:top w:val="none" w:sz="0" w:space="0" w:color="auto"/>
        <w:left w:val="none" w:sz="0" w:space="0" w:color="auto"/>
        <w:bottom w:val="none" w:sz="0" w:space="0" w:color="auto"/>
        <w:right w:val="none" w:sz="0" w:space="0" w:color="auto"/>
      </w:divBdr>
    </w:div>
    <w:div w:id="230967603">
      <w:bodyDiv w:val="1"/>
      <w:marLeft w:val="0"/>
      <w:marRight w:val="0"/>
      <w:marTop w:val="0"/>
      <w:marBottom w:val="0"/>
      <w:divBdr>
        <w:top w:val="none" w:sz="0" w:space="0" w:color="auto"/>
        <w:left w:val="none" w:sz="0" w:space="0" w:color="auto"/>
        <w:bottom w:val="none" w:sz="0" w:space="0" w:color="auto"/>
        <w:right w:val="none" w:sz="0" w:space="0" w:color="auto"/>
      </w:divBdr>
    </w:div>
    <w:div w:id="330565433">
      <w:bodyDiv w:val="1"/>
      <w:marLeft w:val="0"/>
      <w:marRight w:val="0"/>
      <w:marTop w:val="0"/>
      <w:marBottom w:val="0"/>
      <w:divBdr>
        <w:top w:val="none" w:sz="0" w:space="0" w:color="auto"/>
        <w:left w:val="none" w:sz="0" w:space="0" w:color="auto"/>
        <w:bottom w:val="none" w:sz="0" w:space="0" w:color="auto"/>
        <w:right w:val="none" w:sz="0" w:space="0" w:color="auto"/>
      </w:divBdr>
    </w:div>
    <w:div w:id="339937057">
      <w:bodyDiv w:val="1"/>
      <w:marLeft w:val="0"/>
      <w:marRight w:val="0"/>
      <w:marTop w:val="0"/>
      <w:marBottom w:val="0"/>
      <w:divBdr>
        <w:top w:val="none" w:sz="0" w:space="0" w:color="auto"/>
        <w:left w:val="none" w:sz="0" w:space="0" w:color="auto"/>
        <w:bottom w:val="none" w:sz="0" w:space="0" w:color="auto"/>
        <w:right w:val="none" w:sz="0" w:space="0" w:color="auto"/>
      </w:divBdr>
      <w:divsChild>
        <w:div w:id="779111359">
          <w:marLeft w:val="0"/>
          <w:marRight w:val="0"/>
          <w:marTop w:val="0"/>
          <w:marBottom w:val="0"/>
          <w:divBdr>
            <w:top w:val="none" w:sz="0" w:space="0" w:color="auto"/>
            <w:left w:val="none" w:sz="0" w:space="0" w:color="auto"/>
            <w:bottom w:val="none" w:sz="0" w:space="0" w:color="auto"/>
            <w:right w:val="none" w:sz="0" w:space="0" w:color="auto"/>
          </w:divBdr>
        </w:div>
        <w:div w:id="256642055">
          <w:marLeft w:val="0"/>
          <w:marRight w:val="0"/>
          <w:marTop w:val="0"/>
          <w:marBottom w:val="0"/>
          <w:divBdr>
            <w:top w:val="none" w:sz="0" w:space="0" w:color="auto"/>
            <w:left w:val="none" w:sz="0" w:space="0" w:color="auto"/>
            <w:bottom w:val="none" w:sz="0" w:space="0" w:color="auto"/>
            <w:right w:val="none" w:sz="0" w:space="0" w:color="auto"/>
          </w:divBdr>
        </w:div>
        <w:div w:id="1970746768">
          <w:marLeft w:val="0"/>
          <w:marRight w:val="0"/>
          <w:marTop w:val="0"/>
          <w:marBottom w:val="0"/>
          <w:divBdr>
            <w:top w:val="none" w:sz="0" w:space="0" w:color="auto"/>
            <w:left w:val="none" w:sz="0" w:space="0" w:color="auto"/>
            <w:bottom w:val="none" w:sz="0" w:space="0" w:color="auto"/>
            <w:right w:val="none" w:sz="0" w:space="0" w:color="auto"/>
          </w:divBdr>
        </w:div>
        <w:div w:id="1943537123">
          <w:marLeft w:val="0"/>
          <w:marRight w:val="0"/>
          <w:marTop w:val="0"/>
          <w:marBottom w:val="0"/>
          <w:divBdr>
            <w:top w:val="none" w:sz="0" w:space="0" w:color="auto"/>
            <w:left w:val="none" w:sz="0" w:space="0" w:color="auto"/>
            <w:bottom w:val="none" w:sz="0" w:space="0" w:color="auto"/>
            <w:right w:val="none" w:sz="0" w:space="0" w:color="auto"/>
          </w:divBdr>
        </w:div>
        <w:div w:id="1810514802">
          <w:marLeft w:val="0"/>
          <w:marRight w:val="0"/>
          <w:marTop w:val="0"/>
          <w:marBottom w:val="0"/>
          <w:divBdr>
            <w:top w:val="none" w:sz="0" w:space="0" w:color="auto"/>
            <w:left w:val="none" w:sz="0" w:space="0" w:color="auto"/>
            <w:bottom w:val="none" w:sz="0" w:space="0" w:color="auto"/>
            <w:right w:val="none" w:sz="0" w:space="0" w:color="auto"/>
          </w:divBdr>
        </w:div>
        <w:div w:id="317273428">
          <w:marLeft w:val="0"/>
          <w:marRight w:val="0"/>
          <w:marTop w:val="0"/>
          <w:marBottom w:val="0"/>
          <w:divBdr>
            <w:top w:val="none" w:sz="0" w:space="0" w:color="auto"/>
            <w:left w:val="none" w:sz="0" w:space="0" w:color="auto"/>
            <w:bottom w:val="none" w:sz="0" w:space="0" w:color="auto"/>
            <w:right w:val="none" w:sz="0" w:space="0" w:color="auto"/>
          </w:divBdr>
        </w:div>
        <w:div w:id="2085175372">
          <w:marLeft w:val="0"/>
          <w:marRight w:val="0"/>
          <w:marTop w:val="0"/>
          <w:marBottom w:val="0"/>
          <w:divBdr>
            <w:top w:val="none" w:sz="0" w:space="0" w:color="auto"/>
            <w:left w:val="none" w:sz="0" w:space="0" w:color="auto"/>
            <w:bottom w:val="none" w:sz="0" w:space="0" w:color="auto"/>
            <w:right w:val="none" w:sz="0" w:space="0" w:color="auto"/>
          </w:divBdr>
        </w:div>
        <w:div w:id="893078978">
          <w:marLeft w:val="0"/>
          <w:marRight w:val="0"/>
          <w:marTop w:val="0"/>
          <w:marBottom w:val="0"/>
          <w:divBdr>
            <w:top w:val="none" w:sz="0" w:space="0" w:color="auto"/>
            <w:left w:val="none" w:sz="0" w:space="0" w:color="auto"/>
            <w:bottom w:val="none" w:sz="0" w:space="0" w:color="auto"/>
            <w:right w:val="none" w:sz="0" w:space="0" w:color="auto"/>
          </w:divBdr>
        </w:div>
        <w:div w:id="635725248">
          <w:marLeft w:val="0"/>
          <w:marRight w:val="0"/>
          <w:marTop w:val="0"/>
          <w:marBottom w:val="0"/>
          <w:divBdr>
            <w:top w:val="none" w:sz="0" w:space="0" w:color="auto"/>
            <w:left w:val="none" w:sz="0" w:space="0" w:color="auto"/>
            <w:bottom w:val="none" w:sz="0" w:space="0" w:color="auto"/>
            <w:right w:val="none" w:sz="0" w:space="0" w:color="auto"/>
          </w:divBdr>
        </w:div>
        <w:div w:id="679161470">
          <w:marLeft w:val="0"/>
          <w:marRight w:val="0"/>
          <w:marTop w:val="0"/>
          <w:marBottom w:val="0"/>
          <w:divBdr>
            <w:top w:val="none" w:sz="0" w:space="0" w:color="auto"/>
            <w:left w:val="none" w:sz="0" w:space="0" w:color="auto"/>
            <w:bottom w:val="none" w:sz="0" w:space="0" w:color="auto"/>
            <w:right w:val="none" w:sz="0" w:space="0" w:color="auto"/>
          </w:divBdr>
        </w:div>
        <w:div w:id="653334935">
          <w:marLeft w:val="0"/>
          <w:marRight w:val="0"/>
          <w:marTop w:val="0"/>
          <w:marBottom w:val="0"/>
          <w:divBdr>
            <w:top w:val="none" w:sz="0" w:space="0" w:color="auto"/>
            <w:left w:val="none" w:sz="0" w:space="0" w:color="auto"/>
            <w:bottom w:val="none" w:sz="0" w:space="0" w:color="auto"/>
            <w:right w:val="none" w:sz="0" w:space="0" w:color="auto"/>
          </w:divBdr>
        </w:div>
        <w:div w:id="1026759392">
          <w:marLeft w:val="0"/>
          <w:marRight w:val="0"/>
          <w:marTop w:val="0"/>
          <w:marBottom w:val="0"/>
          <w:divBdr>
            <w:top w:val="none" w:sz="0" w:space="0" w:color="auto"/>
            <w:left w:val="none" w:sz="0" w:space="0" w:color="auto"/>
            <w:bottom w:val="none" w:sz="0" w:space="0" w:color="auto"/>
            <w:right w:val="none" w:sz="0" w:space="0" w:color="auto"/>
          </w:divBdr>
        </w:div>
        <w:div w:id="508132907">
          <w:marLeft w:val="0"/>
          <w:marRight w:val="0"/>
          <w:marTop w:val="0"/>
          <w:marBottom w:val="0"/>
          <w:divBdr>
            <w:top w:val="none" w:sz="0" w:space="0" w:color="auto"/>
            <w:left w:val="none" w:sz="0" w:space="0" w:color="auto"/>
            <w:bottom w:val="none" w:sz="0" w:space="0" w:color="auto"/>
            <w:right w:val="none" w:sz="0" w:space="0" w:color="auto"/>
          </w:divBdr>
        </w:div>
        <w:div w:id="1986659236">
          <w:marLeft w:val="0"/>
          <w:marRight w:val="0"/>
          <w:marTop w:val="0"/>
          <w:marBottom w:val="0"/>
          <w:divBdr>
            <w:top w:val="none" w:sz="0" w:space="0" w:color="auto"/>
            <w:left w:val="none" w:sz="0" w:space="0" w:color="auto"/>
            <w:bottom w:val="none" w:sz="0" w:space="0" w:color="auto"/>
            <w:right w:val="none" w:sz="0" w:space="0" w:color="auto"/>
          </w:divBdr>
        </w:div>
        <w:div w:id="815955163">
          <w:marLeft w:val="0"/>
          <w:marRight w:val="0"/>
          <w:marTop w:val="0"/>
          <w:marBottom w:val="0"/>
          <w:divBdr>
            <w:top w:val="none" w:sz="0" w:space="0" w:color="auto"/>
            <w:left w:val="none" w:sz="0" w:space="0" w:color="auto"/>
            <w:bottom w:val="none" w:sz="0" w:space="0" w:color="auto"/>
            <w:right w:val="none" w:sz="0" w:space="0" w:color="auto"/>
          </w:divBdr>
        </w:div>
        <w:div w:id="136731390">
          <w:marLeft w:val="0"/>
          <w:marRight w:val="0"/>
          <w:marTop w:val="0"/>
          <w:marBottom w:val="0"/>
          <w:divBdr>
            <w:top w:val="none" w:sz="0" w:space="0" w:color="auto"/>
            <w:left w:val="none" w:sz="0" w:space="0" w:color="auto"/>
            <w:bottom w:val="none" w:sz="0" w:space="0" w:color="auto"/>
            <w:right w:val="none" w:sz="0" w:space="0" w:color="auto"/>
          </w:divBdr>
        </w:div>
        <w:div w:id="1654483806">
          <w:marLeft w:val="0"/>
          <w:marRight w:val="0"/>
          <w:marTop w:val="0"/>
          <w:marBottom w:val="0"/>
          <w:divBdr>
            <w:top w:val="none" w:sz="0" w:space="0" w:color="auto"/>
            <w:left w:val="none" w:sz="0" w:space="0" w:color="auto"/>
            <w:bottom w:val="none" w:sz="0" w:space="0" w:color="auto"/>
            <w:right w:val="none" w:sz="0" w:space="0" w:color="auto"/>
          </w:divBdr>
        </w:div>
        <w:div w:id="183598388">
          <w:marLeft w:val="0"/>
          <w:marRight w:val="0"/>
          <w:marTop w:val="0"/>
          <w:marBottom w:val="0"/>
          <w:divBdr>
            <w:top w:val="none" w:sz="0" w:space="0" w:color="auto"/>
            <w:left w:val="none" w:sz="0" w:space="0" w:color="auto"/>
            <w:bottom w:val="none" w:sz="0" w:space="0" w:color="auto"/>
            <w:right w:val="none" w:sz="0" w:space="0" w:color="auto"/>
          </w:divBdr>
        </w:div>
        <w:div w:id="1563367817">
          <w:marLeft w:val="0"/>
          <w:marRight w:val="0"/>
          <w:marTop w:val="0"/>
          <w:marBottom w:val="0"/>
          <w:divBdr>
            <w:top w:val="none" w:sz="0" w:space="0" w:color="auto"/>
            <w:left w:val="none" w:sz="0" w:space="0" w:color="auto"/>
            <w:bottom w:val="none" w:sz="0" w:space="0" w:color="auto"/>
            <w:right w:val="none" w:sz="0" w:space="0" w:color="auto"/>
          </w:divBdr>
        </w:div>
        <w:div w:id="519129302">
          <w:marLeft w:val="0"/>
          <w:marRight w:val="0"/>
          <w:marTop w:val="0"/>
          <w:marBottom w:val="0"/>
          <w:divBdr>
            <w:top w:val="none" w:sz="0" w:space="0" w:color="auto"/>
            <w:left w:val="none" w:sz="0" w:space="0" w:color="auto"/>
            <w:bottom w:val="none" w:sz="0" w:space="0" w:color="auto"/>
            <w:right w:val="none" w:sz="0" w:space="0" w:color="auto"/>
          </w:divBdr>
        </w:div>
        <w:div w:id="1230726719">
          <w:marLeft w:val="0"/>
          <w:marRight w:val="0"/>
          <w:marTop w:val="0"/>
          <w:marBottom w:val="0"/>
          <w:divBdr>
            <w:top w:val="none" w:sz="0" w:space="0" w:color="auto"/>
            <w:left w:val="none" w:sz="0" w:space="0" w:color="auto"/>
            <w:bottom w:val="none" w:sz="0" w:space="0" w:color="auto"/>
            <w:right w:val="none" w:sz="0" w:space="0" w:color="auto"/>
          </w:divBdr>
        </w:div>
        <w:div w:id="834958791">
          <w:marLeft w:val="0"/>
          <w:marRight w:val="0"/>
          <w:marTop w:val="0"/>
          <w:marBottom w:val="0"/>
          <w:divBdr>
            <w:top w:val="none" w:sz="0" w:space="0" w:color="auto"/>
            <w:left w:val="none" w:sz="0" w:space="0" w:color="auto"/>
            <w:bottom w:val="none" w:sz="0" w:space="0" w:color="auto"/>
            <w:right w:val="none" w:sz="0" w:space="0" w:color="auto"/>
          </w:divBdr>
        </w:div>
        <w:div w:id="72706417">
          <w:marLeft w:val="0"/>
          <w:marRight w:val="0"/>
          <w:marTop w:val="0"/>
          <w:marBottom w:val="0"/>
          <w:divBdr>
            <w:top w:val="none" w:sz="0" w:space="0" w:color="auto"/>
            <w:left w:val="none" w:sz="0" w:space="0" w:color="auto"/>
            <w:bottom w:val="none" w:sz="0" w:space="0" w:color="auto"/>
            <w:right w:val="none" w:sz="0" w:space="0" w:color="auto"/>
          </w:divBdr>
        </w:div>
        <w:div w:id="811100059">
          <w:marLeft w:val="0"/>
          <w:marRight w:val="0"/>
          <w:marTop w:val="0"/>
          <w:marBottom w:val="0"/>
          <w:divBdr>
            <w:top w:val="none" w:sz="0" w:space="0" w:color="auto"/>
            <w:left w:val="none" w:sz="0" w:space="0" w:color="auto"/>
            <w:bottom w:val="none" w:sz="0" w:space="0" w:color="auto"/>
            <w:right w:val="none" w:sz="0" w:space="0" w:color="auto"/>
          </w:divBdr>
        </w:div>
        <w:div w:id="993140389">
          <w:marLeft w:val="0"/>
          <w:marRight w:val="0"/>
          <w:marTop w:val="0"/>
          <w:marBottom w:val="0"/>
          <w:divBdr>
            <w:top w:val="none" w:sz="0" w:space="0" w:color="auto"/>
            <w:left w:val="none" w:sz="0" w:space="0" w:color="auto"/>
            <w:bottom w:val="none" w:sz="0" w:space="0" w:color="auto"/>
            <w:right w:val="none" w:sz="0" w:space="0" w:color="auto"/>
          </w:divBdr>
        </w:div>
        <w:div w:id="503587878">
          <w:marLeft w:val="0"/>
          <w:marRight w:val="0"/>
          <w:marTop w:val="0"/>
          <w:marBottom w:val="0"/>
          <w:divBdr>
            <w:top w:val="none" w:sz="0" w:space="0" w:color="auto"/>
            <w:left w:val="none" w:sz="0" w:space="0" w:color="auto"/>
            <w:bottom w:val="none" w:sz="0" w:space="0" w:color="auto"/>
            <w:right w:val="none" w:sz="0" w:space="0" w:color="auto"/>
          </w:divBdr>
        </w:div>
        <w:div w:id="1777558211">
          <w:marLeft w:val="0"/>
          <w:marRight w:val="0"/>
          <w:marTop w:val="0"/>
          <w:marBottom w:val="0"/>
          <w:divBdr>
            <w:top w:val="none" w:sz="0" w:space="0" w:color="auto"/>
            <w:left w:val="none" w:sz="0" w:space="0" w:color="auto"/>
            <w:bottom w:val="none" w:sz="0" w:space="0" w:color="auto"/>
            <w:right w:val="none" w:sz="0" w:space="0" w:color="auto"/>
          </w:divBdr>
        </w:div>
        <w:div w:id="2057117120">
          <w:marLeft w:val="0"/>
          <w:marRight w:val="0"/>
          <w:marTop w:val="0"/>
          <w:marBottom w:val="0"/>
          <w:divBdr>
            <w:top w:val="none" w:sz="0" w:space="0" w:color="auto"/>
            <w:left w:val="none" w:sz="0" w:space="0" w:color="auto"/>
            <w:bottom w:val="none" w:sz="0" w:space="0" w:color="auto"/>
            <w:right w:val="none" w:sz="0" w:space="0" w:color="auto"/>
          </w:divBdr>
        </w:div>
        <w:div w:id="1322320071">
          <w:marLeft w:val="0"/>
          <w:marRight w:val="0"/>
          <w:marTop w:val="0"/>
          <w:marBottom w:val="0"/>
          <w:divBdr>
            <w:top w:val="none" w:sz="0" w:space="0" w:color="auto"/>
            <w:left w:val="none" w:sz="0" w:space="0" w:color="auto"/>
            <w:bottom w:val="none" w:sz="0" w:space="0" w:color="auto"/>
            <w:right w:val="none" w:sz="0" w:space="0" w:color="auto"/>
          </w:divBdr>
        </w:div>
        <w:div w:id="1678730622">
          <w:marLeft w:val="0"/>
          <w:marRight w:val="0"/>
          <w:marTop w:val="0"/>
          <w:marBottom w:val="0"/>
          <w:divBdr>
            <w:top w:val="none" w:sz="0" w:space="0" w:color="auto"/>
            <w:left w:val="none" w:sz="0" w:space="0" w:color="auto"/>
            <w:bottom w:val="none" w:sz="0" w:space="0" w:color="auto"/>
            <w:right w:val="none" w:sz="0" w:space="0" w:color="auto"/>
          </w:divBdr>
        </w:div>
        <w:div w:id="980884298">
          <w:marLeft w:val="0"/>
          <w:marRight w:val="0"/>
          <w:marTop w:val="0"/>
          <w:marBottom w:val="0"/>
          <w:divBdr>
            <w:top w:val="none" w:sz="0" w:space="0" w:color="auto"/>
            <w:left w:val="none" w:sz="0" w:space="0" w:color="auto"/>
            <w:bottom w:val="none" w:sz="0" w:space="0" w:color="auto"/>
            <w:right w:val="none" w:sz="0" w:space="0" w:color="auto"/>
          </w:divBdr>
        </w:div>
        <w:div w:id="1707409936">
          <w:marLeft w:val="0"/>
          <w:marRight w:val="0"/>
          <w:marTop w:val="0"/>
          <w:marBottom w:val="0"/>
          <w:divBdr>
            <w:top w:val="none" w:sz="0" w:space="0" w:color="auto"/>
            <w:left w:val="none" w:sz="0" w:space="0" w:color="auto"/>
            <w:bottom w:val="none" w:sz="0" w:space="0" w:color="auto"/>
            <w:right w:val="none" w:sz="0" w:space="0" w:color="auto"/>
          </w:divBdr>
        </w:div>
        <w:div w:id="910119249">
          <w:marLeft w:val="0"/>
          <w:marRight w:val="0"/>
          <w:marTop w:val="0"/>
          <w:marBottom w:val="0"/>
          <w:divBdr>
            <w:top w:val="none" w:sz="0" w:space="0" w:color="auto"/>
            <w:left w:val="none" w:sz="0" w:space="0" w:color="auto"/>
            <w:bottom w:val="none" w:sz="0" w:space="0" w:color="auto"/>
            <w:right w:val="none" w:sz="0" w:space="0" w:color="auto"/>
          </w:divBdr>
        </w:div>
        <w:div w:id="1110777870">
          <w:marLeft w:val="0"/>
          <w:marRight w:val="0"/>
          <w:marTop w:val="0"/>
          <w:marBottom w:val="0"/>
          <w:divBdr>
            <w:top w:val="none" w:sz="0" w:space="0" w:color="auto"/>
            <w:left w:val="none" w:sz="0" w:space="0" w:color="auto"/>
            <w:bottom w:val="none" w:sz="0" w:space="0" w:color="auto"/>
            <w:right w:val="none" w:sz="0" w:space="0" w:color="auto"/>
          </w:divBdr>
        </w:div>
        <w:div w:id="1339229807">
          <w:marLeft w:val="0"/>
          <w:marRight w:val="0"/>
          <w:marTop w:val="0"/>
          <w:marBottom w:val="0"/>
          <w:divBdr>
            <w:top w:val="none" w:sz="0" w:space="0" w:color="auto"/>
            <w:left w:val="none" w:sz="0" w:space="0" w:color="auto"/>
            <w:bottom w:val="none" w:sz="0" w:space="0" w:color="auto"/>
            <w:right w:val="none" w:sz="0" w:space="0" w:color="auto"/>
          </w:divBdr>
        </w:div>
        <w:div w:id="1610968915">
          <w:marLeft w:val="0"/>
          <w:marRight w:val="0"/>
          <w:marTop w:val="0"/>
          <w:marBottom w:val="0"/>
          <w:divBdr>
            <w:top w:val="none" w:sz="0" w:space="0" w:color="auto"/>
            <w:left w:val="none" w:sz="0" w:space="0" w:color="auto"/>
            <w:bottom w:val="none" w:sz="0" w:space="0" w:color="auto"/>
            <w:right w:val="none" w:sz="0" w:space="0" w:color="auto"/>
          </w:divBdr>
        </w:div>
        <w:div w:id="1722746791">
          <w:marLeft w:val="0"/>
          <w:marRight w:val="0"/>
          <w:marTop w:val="0"/>
          <w:marBottom w:val="0"/>
          <w:divBdr>
            <w:top w:val="none" w:sz="0" w:space="0" w:color="auto"/>
            <w:left w:val="none" w:sz="0" w:space="0" w:color="auto"/>
            <w:bottom w:val="none" w:sz="0" w:space="0" w:color="auto"/>
            <w:right w:val="none" w:sz="0" w:space="0" w:color="auto"/>
          </w:divBdr>
        </w:div>
        <w:div w:id="146284638">
          <w:marLeft w:val="0"/>
          <w:marRight w:val="0"/>
          <w:marTop w:val="0"/>
          <w:marBottom w:val="0"/>
          <w:divBdr>
            <w:top w:val="none" w:sz="0" w:space="0" w:color="auto"/>
            <w:left w:val="none" w:sz="0" w:space="0" w:color="auto"/>
            <w:bottom w:val="none" w:sz="0" w:space="0" w:color="auto"/>
            <w:right w:val="none" w:sz="0" w:space="0" w:color="auto"/>
          </w:divBdr>
        </w:div>
        <w:div w:id="905069628">
          <w:marLeft w:val="0"/>
          <w:marRight w:val="0"/>
          <w:marTop w:val="0"/>
          <w:marBottom w:val="0"/>
          <w:divBdr>
            <w:top w:val="none" w:sz="0" w:space="0" w:color="auto"/>
            <w:left w:val="none" w:sz="0" w:space="0" w:color="auto"/>
            <w:bottom w:val="none" w:sz="0" w:space="0" w:color="auto"/>
            <w:right w:val="none" w:sz="0" w:space="0" w:color="auto"/>
          </w:divBdr>
        </w:div>
        <w:div w:id="1530800207">
          <w:marLeft w:val="0"/>
          <w:marRight w:val="0"/>
          <w:marTop w:val="0"/>
          <w:marBottom w:val="0"/>
          <w:divBdr>
            <w:top w:val="none" w:sz="0" w:space="0" w:color="auto"/>
            <w:left w:val="none" w:sz="0" w:space="0" w:color="auto"/>
            <w:bottom w:val="none" w:sz="0" w:space="0" w:color="auto"/>
            <w:right w:val="none" w:sz="0" w:space="0" w:color="auto"/>
          </w:divBdr>
        </w:div>
        <w:div w:id="1957329998">
          <w:marLeft w:val="0"/>
          <w:marRight w:val="0"/>
          <w:marTop w:val="0"/>
          <w:marBottom w:val="0"/>
          <w:divBdr>
            <w:top w:val="none" w:sz="0" w:space="0" w:color="auto"/>
            <w:left w:val="none" w:sz="0" w:space="0" w:color="auto"/>
            <w:bottom w:val="none" w:sz="0" w:space="0" w:color="auto"/>
            <w:right w:val="none" w:sz="0" w:space="0" w:color="auto"/>
          </w:divBdr>
        </w:div>
        <w:div w:id="1753771870">
          <w:marLeft w:val="0"/>
          <w:marRight w:val="0"/>
          <w:marTop w:val="0"/>
          <w:marBottom w:val="0"/>
          <w:divBdr>
            <w:top w:val="none" w:sz="0" w:space="0" w:color="auto"/>
            <w:left w:val="none" w:sz="0" w:space="0" w:color="auto"/>
            <w:bottom w:val="none" w:sz="0" w:space="0" w:color="auto"/>
            <w:right w:val="none" w:sz="0" w:space="0" w:color="auto"/>
          </w:divBdr>
        </w:div>
        <w:div w:id="417405218">
          <w:marLeft w:val="0"/>
          <w:marRight w:val="0"/>
          <w:marTop w:val="0"/>
          <w:marBottom w:val="0"/>
          <w:divBdr>
            <w:top w:val="none" w:sz="0" w:space="0" w:color="auto"/>
            <w:left w:val="none" w:sz="0" w:space="0" w:color="auto"/>
            <w:bottom w:val="none" w:sz="0" w:space="0" w:color="auto"/>
            <w:right w:val="none" w:sz="0" w:space="0" w:color="auto"/>
          </w:divBdr>
        </w:div>
        <w:div w:id="1165322724">
          <w:marLeft w:val="0"/>
          <w:marRight w:val="0"/>
          <w:marTop w:val="0"/>
          <w:marBottom w:val="0"/>
          <w:divBdr>
            <w:top w:val="none" w:sz="0" w:space="0" w:color="auto"/>
            <w:left w:val="none" w:sz="0" w:space="0" w:color="auto"/>
            <w:bottom w:val="none" w:sz="0" w:space="0" w:color="auto"/>
            <w:right w:val="none" w:sz="0" w:space="0" w:color="auto"/>
          </w:divBdr>
        </w:div>
        <w:div w:id="121003571">
          <w:marLeft w:val="0"/>
          <w:marRight w:val="0"/>
          <w:marTop w:val="0"/>
          <w:marBottom w:val="0"/>
          <w:divBdr>
            <w:top w:val="none" w:sz="0" w:space="0" w:color="auto"/>
            <w:left w:val="none" w:sz="0" w:space="0" w:color="auto"/>
            <w:bottom w:val="none" w:sz="0" w:space="0" w:color="auto"/>
            <w:right w:val="none" w:sz="0" w:space="0" w:color="auto"/>
          </w:divBdr>
        </w:div>
        <w:div w:id="1948779836">
          <w:marLeft w:val="0"/>
          <w:marRight w:val="0"/>
          <w:marTop w:val="0"/>
          <w:marBottom w:val="0"/>
          <w:divBdr>
            <w:top w:val="none" w:sz="0" w:space="0" w:color="auto"/>
            <w:left w:val="none" w:sz="0" w:space="0" w:color="auto"/>
            <w:bottom w:val="none" w:sz="0" w:space="0" w:color="auto"/>
            <w:right w:val="none" w:sz="0" w:space="0" w:color="auto"/>
          </w:divBdr>
        </w:div>
        <w:div w:id="1518154625">
          <w:marLeft w:val="0"/>
          <w:marRight w:val="0"/>
          <w:marTop w:val="0"/>
          <w:marBottom w:val="0"/>
          <w:divBdr>
            <w:top w:val="none" w:sz="0" w:space="0" w:color="auto"/>
            <w:left w:val="none" w:sz="0" w:space="0" w:color="auto"/>
            <w:bottom w:val="none" w:sz="0" w:space="0" w:color="auto"/>
            <w:right w:val="none" w:sz="0" w:space="0" w:color="auto"/>
          </w:divBdr>
        </w:div>
        <w:div w:id="1698894195">
          <w:marLeft w:val="0"/>
          <w:marRight w:val="0"/>
          <w:marTop w:val="0"/>
          <w:marBottom w:val="0"/>
          <w:divBdr>
            <w:top w:val="none" w:sz="0" w:space="0" w:color="auto"/>
            <w:left w:val="none" w:sz="0" w:space="0" w:color="auto"/>
            <w:bottom w:val="none" w:sz="0" w:space="0" w:color="auto"/>
            <w:right w:val="none" w:sz="0" w:space="0" w:color="auto"/>
          </w:divBdr>
        </w:div>
        <w:div w:id="2037000094">
          <w:marLeft w:val="0"/>
          <w:marRight w:val="0"/>
          <w:marTop w:val="0"/>
          <w:marBottom w:val="0"/>
          <w:divBdr>
            <w:top w:val="none" w:sz="0" w:space="0" w:color="auto"/>
            <w:left w:val="none" w:sz="0" w:space="0" w:color="auto"/>
            <w:bottom w:val="none" w:sz="0" w:space="0" w:color="auto"/>
            <w:right w:val="none" w:sz="0" w:space="0" w:color="auto"/>
          </w:divBdr>
        </w:div>
        <w:div w:id="1601723023">
          <w:marLeft w:val="0"/>
          <w:marRight w:val="0"/>
          <w:marTop w:val="0"/>
          <w:marBottom w:val="0"/>
          <w:divBdr>
            <w:top w:val="none" w:sz="0" w:space="0" w:color="auto"/>
            <w:left w:val="none" w:sz="0" w:space="0" w:color="auto"/>
            <w:bottom w:val="none" w:sz="0" w:space="0" w:color="auto"/>
            <w:right w:val="none" w:sz="0" w:space="0" w:color="auto"/>
          </w:divBdr>
        </w:div>
        <w:div w:id="1413504283">
          <w:marLeft w:val="0"/>
          <w:marRight w:val="0"/>
          <w:marTop w:val="0"/>
          <w:marBottom w:val="0"/>
          <w:divBdr>
            <w:top w:val="none" w:sz="0" w:space="0" w:color="auto"/>
            <w:left w:val="none" w:sz="0" w:space="0" w:color="auto"/>
            <w:bottom w:val="none" w:sz="0" w:space="0" w:color="auto"/>
            <w:right w:val="none" w:sz="0" w:space="0" w:color="auto"/>
          </w:divBdr>
        </w:div>
        <w:div w:id="2058963749">
          <w:marLeft w:val="0"/>
          <w:marRight w:val="0"/>
          <w:marTop w:val="0"/>
          <w:marBottom w:val="0"/>
          <w:divBdr>
            <w:top w:val="none" w:sz="0" w:space="0" w:color="auto"/>
            <w:left w:val="none" w:sz="0" w:space="0" w:color="auto"/>
            <w:bottom w:val="none" w:sz="0" w:space="0" w:color="auto"/>
            <w:right w:val="none" w:sz="0" w:space="0" w:color="auto"/>
          </w:divBdr>
        </w:div>
        <w:div w:id="1677154373">
          <w:marLeft w:val="0"/>
          <w:marRight w:val="0"/>
          <w:marTop w:val="0"/>
          <w:marBottom w:val="0"/>
          <w:divBdr>
            <w:top w:val="none" w:sz="0" w:space="0" w:color="auto"/>
            <w:left w:val="none" w:sz="0" w:space="0" w:color="auto"/>
            <w:bottom w:val="none" w:sz="0" w:space="0" w:color="auto"/>
            <w:right w:val="none" w:sz="0" w:space="0" w:color="auto"/>
          </w:divBdr>
        </w:div>
        <w:div w:id="1771049371">
          <w:marLeft w:val="0"/>
          <w:marRight w:val="0"/>
          <w:marTop w:val="0"/>
          <w:marBottom w:val="0"/>
          <w:divBdr>
            <w:top w:val="none" w:sz="0" w:space="0" w:color="auto"/>
            <w:left w:val="none" w:sz="0" w:space="0" w:color="auto"/>
            <w:bottom w:val="none" w:sz="0" w:space="0" w:color="auto"/>
            <w:right w:val="none" w:sz="0" w:space="0" w:color="auto"/>
          </w:divBdr>
        </w:div>
        <w:div w:id="1671450112">
          <w:marLeft w:val="0"/>
          <w:marRight w:val="0"/>
          <w:marTop w:val="0"/>
          <w:marBottom w:val="0"/>
          <w:divBdr>
            <w:top w:val="none" w:sz="0" w:space="0" w:color="auto"/>
            <w:left w:val="none" w:sz="0" w:space="0" w:color="auto"/>
            <w:bottom w:val="none" w:sz="0" w:space="0" w:color="auto"/>
            <w:right w:val="none" w:sz="0" w:space="0" w:color="auto"/>
          </w:divBdr>
        </w:div>
        <w:div w:id="1756701704">
          <w:marLeft w:val="0"/>
          <w:marRight w:val="0"/>
          <w:marTop w:val="0"/>
          <w:marBottom w:val="0"/>
          <w:divBdr>
            <w:top w:val="none" w:sz="0" w:space="0" w:color="auto"/>
            <w:left w:val="none" w:sz="0" w:space="0" w:color="auto"/>
            <w:bottom w:val="none" w:sz="0" w:space="0" w:color="auto"/>
            <w:right w:val="none" w:sz="0" w:space="0" w:color="auto"/>
          </w:divBdr>
        </w:div>
        <w:div w:id="1382097648">
          <w:marLeft w:val="0"/>
          <w:marRight w:val="0"/>
          <w:marTop w:val="0"/>
          <w:marBottom w:val="0"/>
          <w:divBdr>
            <w:top w:val="none" w:sz="0" w:space="0" w:color="auto"/>
            <w:left w:val="none" w:sz="0" w:space="0" w:color="auto"/>
            <w:bottom w:val="none" w:sz="0" w:space="0" w:color="auto"/>
            <w:right w:val="none" w:sz="0" w:space="0" w:color="auto"/>
          </w:divBdr>
        </w:div>
        <w:div w:id="1824546796">
          <w:marLeft w:val="0"/>
          <w:marRight w:val="0"/>
          <w:marTop w:val="0"/>
          <w:marBottom w:val="0"/>
          <w:divBdr>
            <w:top w:val="none" w:sz="0" w:space="0" w:color="auto"/>
            <w:left w:val="none" w:sz="0" w:space="0" w:color="auto"/>
            <w:bottom w:val="none" w:sz="0" w:space="0" w:color="auto"/>
            <w:right w:val="none" w:sz="0" w:space="0" w:color="auto"/>
          </w:divBdr>
        </w:div>
        <w:div w:id="403989272">
          <w:marLeft w:val="0"/>
          <w:marRight w:val="0"/>
          <w:marTop w:val="0"/>
          <w:marBottom w:val="0"/>
          <w:divBdr>
            <w:top w:val="none" w:sz="0" w:space="0" w:color="auto"/>
            <w:left w:val="none" w:sz="0" w:space="0" w:color="auto"/>
            <w:bottom w:val="none" w:sz="0" w:space="0" w:color="auto"/>
            <w:right w:val="none" w:sz="0" w:space="0" w:color="auto"/>
          </w:divBdr>
        </w:div>
        <w:div w:id="1022516144">
          <w:marLeft w:val="0"/>
          <w:marRight w:val="0"/>
          <w:marTop w:val="0"/>
          <w:marBottom w:val="0"/>
          <w:divBdr>
            <w:top w:val="none" w:sz="0" w:space="0" w:color="auto"/>
            <w:left w:val="none" w:sz="0" w:space="0" w:color="auto"/>
            <w:bottom w:val="none" w:sz="0" w:space="0" w:color="auto"/>
            <w:right w:val="none" w:sz="0" w:space="0" w:color="auto"/>
          </w:divBdr>
        </w:div>
        <w:div w:id="241332719">
          <w:marLeft w:val="0"/>
          <w:marRight w:val="0"/>
          <w:marTop w:val="0"/>
          <w:marBottom w:val="0"/>
          <w:divBdr>
            <w:top w:val="none" w:sz="0" w:space="0" w:color="auto"/>
            <w:left w:val="none" w:sz="0" w:space="0" w:color="auto"/>
            <w:bottom w:val="none" w:sz="0" w:space="0" w:color="auto"/>
            <w:right w:val="none" w:sz="0" w:space="0" w:color="auto"/>
          </w:divBdr>
        </w:div>
        <w:div w:id="260533301">
          <w:marLeft w:val="0"/>
          <w:marRight w:val="0"/>
          <w:marTop w:val="0"/>
          <w:marBottom w:val="0"/>
          <w:divBdr>
            <w:top w:val="none" w:sz="0" w:space="0" w:color="auto"/>
            <w:left w:val="none" w:sz="0" w:space="0" w:color="auto"/>
            <w:bottom w:val="none" w:sz="0" w:space="0" w:color="auto"/>
            <w:right w:val="none" w:sz="0" w:space="0" w:color="auto"/>
          </w:divBdr>
        </w:div>
        <w:div w:id="1365250209">
          <w:marLeft w:val="0"/>
          <w:marRight w:val="0"/>
          <w:marTop w:val="0"/>
          <w:marBottom w:val="0"/>
          <w:divBdr>
            <w:top w:val="none" w:sz="0" w:space="0" w:color="auto"/>
            <w:left w:val="none" w:sz="0" w:space="0" w:color="auto"/>
            <w:bottom w:val="none" w:sz="0" w:space="0" w:color="auto"/>
            <w:right w:val="none" w:sz="0" w:space="0" w:color="auto"/>
          </w:divBdr>
        </w:div>
        <w:div w:id="2038850237">
          <w:marLeft w:val="0"/>
          <w:marRight w:val="0"/>
          <w:marTop w:val="0"/>
          <w:marBottom w:val="0"/>
          <w:divBdr>
            <w:top w:val="none" w:sz="0" w:space="0" w:color="auto"/>
            <w:left w:val="none" w:sz="0" w:space="0" w:color="auto"/>
            <w:bottom w:val="none" w:sz="0" w:space="0" w:color="auto"/>
            <w:right w:val="none" w:sz="0" w:space="0" w:color="auto"/>
          </w:divBdr>
        </w:div>
        <w:div w:id="282813196">
          <w:marLeft w:val="0"/>
          <w:marRight w:val="0"/>
          <w:marTop w:val="0"/>
          <w:marBottom w:val="0"/>
          <w:divBdr>
            <w:top w:val="none" w:sz="0" w:space="0" w:color="auto"/>
            <w:left w:val="none" w:sz="0" w:space="0" w:color="auto"/>
            <w:bottom w:val="none" w:sz="0" w:space="0" w:color="auto"/>
            <w:right w:val="none" w:sz="0" w:space="0" w:color="auto"/>
          </w:divBdr>
        </w:div>
        <w:div w:id="1634404744">
          <w:marLeft w:val="0"/>
          <w:marRight w:val="0"/>
          <w:marTop w:val="0"/>
          <w:marBottom w:val="0"/>
          <w:divBdr>
            <w:top w:val="none" w:sz="0" w:space="0" w:color="auto"/>
            <w:left w:val="none" w:sz="0" w:space="0" w:color="auto"/>
            <w:bottom w:val="none" w:sz="0" w:space="0" w:color="auto"/>
            <w:right w:val="none" w:sz="0" w:space="0" w:color="auto"/>
          </w:divBdr>
        </w:div>
        <w:div w:id="628048774">
          <w:marLeft w:val="0"/>
          <w:marRight w:val="0"/>
          <w:marTop w:val="0"/>
          <w:marBottom w:val="0"/>
          <w:divBdr>
            <w:top w:val="none" w:sz="0" w:space="0" w:color="auto"/>
            <w:left w:val="none" w:sz="0" w:space="0" w:color="auto"/>
            <w:bottom w:val="none" w:sz="0" w:space="0" w:color="auto"/>
            <w:right w:val="none" w:sz="0" w:space="0" w:color="auto"/>
          </w:divBdr>
        </w:div>
        <w:div w:id="242762675">
          <w:marLeft w:val="0"/>
          <w:marRight w:val="0"/>
          <w:marTop w:val="0"/>
          <w:marBottom w:val="0"/>
          <w:divBdr>
            <w:top w:val="none" w:sz="0" w:space="0" w:color="auto"/>
            <w:left w:val="none" w:sz="0" w:space="0" w:color="auto"/>
            <w:bottom w:val="none" w:sz="0" w:space="0" w:color="auto"/>
            <w:right w:val="none" w:sz="0" w:space="0" w:color="auto"/>
          </w:divBdr>
        </w:div>
        <w:div w:id="1402748893">
          <w:marLeft w:val="0"/>
          <w:marRight w:val="0"/>
          <w:marTop w:val="0"/>
          <w:marBottom w:val="0"/>
          <w:divBdr>
            <w:top w:val="none" w:sz="0" w:space="0" w:color="auto"/>
            <w:left w:val="none" w:sz="0" w:space="0" w:color="auto"/>
            <w:bottom w:val="none" w:sz="0" w:space="0" w:color="auto"/>
            <w:right w:val="none" w:sz="0" w:space="0" w:color="auto"/>
          </w:divBdr>
        </w:div>
        <w:div w:id="700127139">
          <w:marLeft w:val="0"/>
          <w:marRight w:val="0"/>
          <w:marTop w:val="0"/>
          <w:marBottom w:val="0"/>
          <w:divBdr>
            <w:top w:val="none" w:sz="0" w:space="0" w:color="auto"/>
            <w:left w:val="none" w:sz="0" w:space="0" w:color="auto"/>
            <w:bottom w:val="none" w:sz="0" w:space="0" w:color="auto"/>
            <w:right w:val="none" w:sz="0" w:space="0" w:color="auto"/>
          </w:divBdr>
        </w:div>
        <w:div w:id="1588612584">
          <w:marLeft w:val="0"/>
          <w:marRight w:val="0"/>
          <w:marTop w:val="0"/>
          <w:marBottom w:val="0"/>
          <w:divBdr>
            <w:top w:val="none" w:sz="0" w:space="0" w:color="auto"/>
            <w:left w:val="none" w:sz="0" w:space="0" w:color="auto"/>
            <w:bottom w:val="none" w:sz="0" w:space="0" w:color="auto"/>
            <w:right w:val="none" w:sz="0" w:space="0" w:color="auto"/>
          </w:divBdr>
        </w:div>
        <w:div w:id="1294361453">
          <w:marLeft w:val="0"/>
          <w:marRight w:val="0"/>
          <w:marTop w:val="0"/>
          <w:marBottom w:val="0"/>
          <w:divBdr>
            <w:top w:val="none" w:sz="0" w:space="0" w:color="auto"/>
            <w:left w:val="none" w:sz="0" w:space="0" w:color="auto"/>
            <w:bottom w:val="none" w:sz="0" w:space="0" w:color="auto"/>
            <w:right w:val="none" w:sz="0" w:space="0" w:color="auto"/>
          </w:divBdr>
        </w:div>
        <w:div w:id="1614744090">
          <w:marLeft w:val="0"/>
          <w:marRight w:val="0"/>
          <w:marTop w:val="0"/>
          <w:marBottom w:val="0"/>
          <w:divBdr>
            <w:top w:val="none" w:sz="0" w:space="0" w:color="auto"/>
            <w:left w:val="none" w:sz="0" w:space="0" w:color="auto"/>
            <w:bottom w:val="none" w:sz="0" w:space="0" w:color="auto"/>
            <w:right w:val="none" w:sz="0" w:space="0" w:color="auto"/>
          </w:divBdr>
        </w:div>
        <w:div w:id="428736869">
          <w:marLeft w:val="0"/>
          <w:marRight w:val="0"/>
          <w:marTop w:val="0"/>
          <w:marBottom w:val="0"/>
          <w:divBdr>
            <w:top w:val="none" w:sz="0" w:space="0" w:color="auto"/>
            <w:left w:val="none" w:sz="0" w:space="0" w:color="auto"/>
            <w:bottom w:val="none" w:sz="0" w:space="0" w:color="auto"/>
            <w:right w:val="none" w:sz="0" w:space="0" w:color="auto"/>
          </w:divBdr>
        </w:div>
        <w:div w:id="112209145">
          <w:marLeft w:val="0"/>
          <w:marRight w:val="0"/>
          <w:marTop w:val="0"/>
          <w:marBottom w:val="0"/>
          <w:divBdr>
            <w:top w:val="none" w:sz="0" w:space="0" w:color="auto"/>
            <w:left w:val="none" w:sz="0" w:space="0" w:color="auto"/>
            <w:bottom w:val="none" w:sz="0" w:space="0" w:color="auto"/>
            <w:right w:val="none" w:sz="0" w:space="0" w:color="auto"/>
          </w:divBdr>
        </w:div>
        <w:div w:id="1700200558">
          <w:marLeft w:val="0"/>
          <w:marRight w:val="0"/>
          <w:marTop w:val="0"/>
          <w:marBottom w:val="0"/>
          <w:divBdr>
            <w:top w:val="none" w:sz="0" w:space="0" w:color="auto"/>
            <w:left w:val="none" w:sz="0" w:space="0" w:color="auto"/>
            <w:bottom w:val="none" w:sz="0" w:space="0" w:color="auto"/>
            <w:right w:val="none" w:sz="0" w:space="0" w:color="auto"/>
          </w:divBdr>
        </w:div>
      </w:divsChild>
    </w:div>
    <w:div w:id="515849736">
      <w:bodyDiv w:val="1"/>
      <w:marLeft w:val="0"/>
      <w:marRight w:val="0"/>
      <w:marTop w:val="0"/>
      <w:marBottom w:val="0"/>
      <w:divBdr>
        <w:top w:val="none" w:sz="0" w:space="0" w:color="auto"/>
        <w:left w:val="none" w:sz="0" w:space="0" w:color="auto"/>
        <w:bottom w:val="none" w:sz="0" w:space="0" w:color="auto"/>
        <w:right w:val="none" w:sz="0" w:space="0" w:color="auto"/>
      </w:divBdr>
      <w:divsChild>
        <w:div w:id="1534805185">
          <w:marLeft w:val="0"/>
          <w:marRight w:val="0"/>
          <w:marTop w:val="0"/>
          <w:marBottom w:val="0"/>
          <w:divBdr>
            <w:top w:val="none" w:sz="0" w:space="0" w:color="auto"/>
            <w:left w:val="none" w:sz="0" w:space="0" w:color="auto"/>
            <w:bottom w:val="none" w:sz="0" w:space="0" w:color="auto"/>
            <w:right w:val="none" w:sz="0" w:space="0" w:color="auto"/>
          </w:divBdr>
          <w:divsChild>
            <w:div w:id="93477670">
              <w:marLeft w:val="0"/>
              <w:marRight w:val="0"/>
              <w:marTop w:val="0"/>
              <w:marBottom w:val="240"/>
              <w:divBdr>
                <w:top w:val="none" w:sz="0" w:space="0" w:color="auto"/>
                <w:left w:val="none" w:sz="0" w:space="0" w:color="auto"/>
                <w:bottom w:val="none" w:sz="0" w:space="0" w:color="auto"/>
                <w:right w:val="none" w:sz="0" w:space="0" w:color="auto"/>
              </w:divBdr>
            </w:div>
          </w:divsChild>
        </w:div>
        <w:div w:id="1462961079">
          <w:marLeft w:val="0"/>
          <w:marRight w:val="0"/>
          <w:marTop w:val="0"/>
          <w:marBottom w:val="0"/>
          <w:divBdr>
            <w:top w:val="none" w:sz="0" w:space="0" w:color="auto"/>
            <w:left w:val="none" w:sz="0" w:space="0" w:color="auto"/>
            <w:bottom w:val="none" w:sz="0" w:space="0" w:color="auto"/>
            <w:right w:val="none" w:sz="0" w:space="0" w:color="auto"/>
          </w:divBdr>
          <w:divsChild>
            <w:div w:id="881865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5754508">
      <w:bodyDiv w:val="1"/>
      <w:marLeft w:val="0"/>
      <w:marRight w:val="0"/>
      <w:marTop w:val="0"/>
      <w:marBottom w:val="0"/>
      <w:divBdr>
        <w:top w:val="none" w:sz="0" w:space="0" w:color="auto"/>
        <w:left w:val="none" w:sz="0" w:space="0" w:color="auto"/>
        <w:bottom w:val="none" w:sz="0" w:space="0" w:color="auto"/>
        <w:right w:val="none" w:sz="0" w:space="0" w:color="auto"/>
      </w:divBdr>
    </w:div>
    <w:div w:id="569195007">
      <w:bodyDiv w:val="1"/>
      <w:marLeft w:val="0"/>
      <w:marRight w:val="0"/>
      <w:marTop w:val="0"/>
      <w:marBottom w:val="0"/>
      <w:divBdr>
        <w:top w:val="none" w:sz="0" w:space="0" w:color="auto"/>
        <w:left w:val="none" w:sz="0" w:space="0" w:color="auto"/>
        <w:bottom w:val="none" w:sz="0" w:space="0" w:color="auto"/>
        <w:right w:val="none" w:sz="0" w:space="0" w:color="auto"/>
      </w:divBdr>
    </w:div>
    <w:div w:id="609434994">
      <w:bodyDiv w:val="1"/>
      <w:marLeft w:val="0"/>
      <w:marRight w:val="0"/>
      <w:marTop w:val="0"/>
      <w:marBottom w:val="0"/>
      <w:divBdr>
        <w:top w:val="none" w:sz="0" w:space="0" w:color="auto"/>
        <w:left w:val="none" w:sz="0" w:space="0" w:color="auto"/>
        <w:bottom w:val="none" w:sz="0" w:space="0" w:color="auto"/>
        <w:right w:val="none" w:sz="0" w:space="0" w:color="auto"/>
      </w:divBdr>
      <w:divsChild>
        <w:div w:id="1649049082">
          <w:marLeft w:val="0"/>
          <w:marRight w:val="0"/>
          <w:marTop w:val="0"/>
          <w:marBottom w:val="0"/>
          <w:divBdr>
            <w:top w:val="none" w:sz="0" w:space="0" w:color="auto"/>
            <w:left w:val="none" w:sz="0" w:space="0" w:color="auto"/>
            <w:bottom w:val="none" w:sz="0" w:space="0" w:color="auto"/>
            <w:right w:val="none" w:sz="0" w:space="0" w:color="auto"/>
          </w:divBdr>
        </w:div>
        <w:div w:id="178354058">
          <w:marLeft w:val="0"/>
          <w:marRight w:val="0"/>
          <w:marTop w:val="0"/>
          <w:marBottom w:val="0"/>
          <w:divBdr>
            <w:top w:val="none" w:sz="0" w:space="0" w:color="auto"/>
            <w:left w:val="none" w:sz="0" w:space="0" w:color="auto"/>
            <w:bottom w:val="none" w:sz="0" w:space="0" w:color="auto"/>
            <w:right w:val="none" w:sz="0" w:space="0" w:color="auto"/>
          </w:divBdr>
        </w:div>
        <w:div w:id="651641075">
          <w:marLeft w:val="0"/>
          <w:marRight w:val="0"/>
          <w:marTop w:val="0"/>
          <w:marBottom w:val="0"/>
          <w:divBdr>
            <w:top w:val="none" w:sz="0" w:space="0" w:color="auto"/>
            <w:left w:val="none" w:sz="0" w:space="0" w:color="auto"/>
            <w:bottom w:val="none" w:sz="0" w:space="0" w:color="auto"/>
            <w:right w:val="none" w:sz="0" w:space="0" w:color="auto"/>
          </w:divBdr>
        </w:div>
        <w:div w:id="1020006650">
          <w:marLeft w:val="0"/>
          <w:marRight w:val="0"/>
          <w:marTop w:val="0"/>
          <w:marBottom w:val="0"/>
          <w:divBdr>
            <w:top w:val="none" w:sz="0" w:space="0" w:color="auto"/>
            <w:left w:val="none" w:sz="0" w:space="0" w:color="auto"/>
            <w:bottom w:val="none" w:sz="0" w:space="0" w:color="auto"/>
            <w:right w:val="none" w:sz="0" w:space="0" w:color="auto"/>
          </w:divBdr>
        </w:div>
        <w:div w:id="1152984630">
          <w:marLeft w:val="0"/>
          <w:marRight w:val="0"/>
          <w:marTop w:val="0"/>
          <w:marBottom w:val="0"/>
          <w:divBdr>
            <w:top w:val="none" w:sz="0" w:space="0" w:color="auto"/>
            <w:left w:val="none" w:sz="0" w:space="0" w:color="auto"/>
            <w:bottom w:val="none" w:sz="0" w:space="0" w:color="auto"/>
            <w:right w:val="none" w:sz="0" w:space="0" w:color="auto"/>
          </w:divBdr>
        </w:div>
        <w:div w:id="1848016109">
          <w:marLeft w:val="0"/>
          <w:marRight w:val="0"/>
          <w:marTop w:val="0"/>
          <w:marBottom w:val="0"/>
          <w:divBdr>
            <w:top w:val="none" w:sz="0" w:space="0" w:color="auto"/>
            <w:left w:val="none" w:sz="0" w:space="0" w:color="auto"/>
            <w:bottom w:val="none" w:sz="0" w:space="0" w:color="auto"/>
            <w:right w:val="none" w:sz="0" w:space="0" w:color="auto"/>
          </w:divBdr>
        </w:div>
        <w:div w:id="1090078642">
          <w:marLeft w:val="0"/>
          <w:marRight w:val="0"/>
          <w:marTop w:val="0"/>
          <w:marBottom w:val="0"/>
          <w:divBdr>
            <w:top w:val="none" w:sz="0" w:space="0" w:color="auto"/>
            <w:left w:val="none" w:sz="0" w:space="0" w:color="auto"/>
            <w:bottom w:val="none" w:sz="0" w:space="0" w:color="auto"/>
            <w:right w:val="none" w:sz="0" w:space="0" w:color="auto"/>
          </w:divBdr>
        </w:div>
      </w:divsChild>
    </w:div>
    <w:div w:id="722480416">
      <w:bodyDiv w:val="1"/>
      <w:marLeft w:val="0"/>
      <w:marRight w:val="0"/>
      <w:marTop w:val="0"/>
      <w:marBottom w:val="0"/>
      <w:divBdr>
        <w:top w:val="none" w:sz="0" w:space="0" w:color="auto"/>
        <w:left w:val="none" w:sz="0" w:space="0" w:color="auto"/>
        <w:bottom w:val="none" w:sz="0" w:space="0" w:color="auto"/>
        <w:right w:val="none" w:sz="0" w:space="0" w:color="auto"/>
      </w:divBdr>
    </w:div>
    <w:div w:id="897594047">
      <w:bodyDiv w:val="1"/>
      <w:marLeft w:val="0"/>
      <w:marRight w:val="0"/>
      <w:marTop w:val="0"/>
      <w:marBottom w:val="0"/>
      <w:divBdr>
        <w:top w:val="none" w:sz="0" w:space="0" w:color="auto"/>
        <w:left w:val="none" w:sz="0" w:space="0" w:color="auto"/>
        <w:bottom w:val="none" w:sz="0" w:space="0" w:color="auto"/>
        <w:right w:val="none" w:sz="0" w:space="0" w:color="auto"/>
      </w:divBdr>
    </w:div>
    <w:div w:id="917058327">
      <w:bodyDiv w:val="1"/>
      <w:marLeft w:val="0"/>
      <w:marRight w:val="0"/>
      <w:marTop w:val="0"/>
      <w:marBottom w:val="0"/>
      <w:divBdr>
        <w:top w:val="none" w:sz="0" w:space="0" w:color="auto"/>
        <w:left w:val="none" w:sz="0" w:space="0" w:color="auto"/>
        <w:bottom w:val="none" w:sz="0" w:space="0" w:color="auto"/>
        <w:right w:val="none" w:sz="0" w:space="0" w:color="auto"/>
      </w:divBdr>
    </w:div>
    <w:div w:id="1086609354">
      <w:bodyDiv w:val="1"/>
      <w:marLeft w:val="0"/>
      <w:marRight w:val="0"/>
      <w:marTop w:val="0"/>
      <w:marBottom w:val="0"/>
      <w:divBdr>
        <w:top w:val="none" w:sz="0" w:space="0" w:color="auto"/>
        <w:left w:val="none" w:sz="0" w:space="0" w:color="auto"/>
        <w:bottom w:val="none" w:sz="0" w:space="0" w:color="auto"/>
        <w:right w:val="none" w:sz="0" w:space="0" w:color="auto"/>
      </w:divBdr>
      <w:divsChild>
        <w:div w:id="1710957684">
          <w:marLeft w:val="0"/>
          <w:marRight w:val="0"/>
          <w:marTop w:val="0"/>
          <w:marBottom w:val="300"/>
          <w:divBdr>
            <w:top w:val="none" w:sz="0" w:space="0" w:color="auto"/>
            <w:left w:val="none" w:sz="0" w:space="0" w:color="auto"/>
            <w:bottom w:val="none" w:sz="0" w:space="0" w:color="auto"/>
            <w:right w:val="none" w:sz="0" w:space="0" w:color="auto"/>
          </w:divBdr>
        </w:div>
        <w:div w:id="1746608058">
          <w:marLeft w:val="0"/>
          <w:marRight w:val="0"/>
          <w:marTop w:val="180"/>
          <w:marBottom w:val="0"/>
          <w:divBdr>
            <w:top w:val="none" w:sz="0" w:space="0" w:color="auto"/>
            <w:left w:val="none" w:sz="0" w:space="0" w:color="auto"/>
            <w:bottom w:val="none" w:sz="0" w:space="0" w:color="auto"/>
            <w:right w:val="none" w:sz="0" w:space="0" w:color="auto"/>
          </w:divBdr>
          <w:divsChild>
            <w:div w:id="2487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30427">
      <w:bodyDiv w:val="1"/>
      <w:marLeft w:val="0"/>
      <w:marRight w:val="0"/>
      <w:marTop w:val="0"/>
      <w:marBottom w:val="0"/>
      <w:divBdr>
        <w:top w:val="none" w:sz="0" w:space="0" w:color="auto"/>
        <w:left w:val="none" w:sz="0" w:space="0" w:color="auto"/>
        <w:bottom w:val="none" w:sz="0" w:space="0" w:color="auto"/>
        <w:right w:val="none" w:sz="0" w:space="0" w:color="auto"/>
      </w:divBdr>
    </w:div>
    <w:div w:id="1518957275">
      <w:bodyDiv w:val="1"/>
      <w:marLeft w:val="0"/>
      <w:marRight w:val="0"/>
      <w:marTop w:val="0"/>
      <w:marBottom w:val="0"/>
      <w:divBdr>
        <w:top w:val="none" w:sz="0" w:space="0" w:color="auto"/>
        <w:left w:val="none" w:sz="0" w:space="0" w:color="auto"/>
        <w:bottom w:val="none" w:sz="0" w:space="0" w:color="auto"/>
        <w:right w:val="none" w:sz="0" w:space="0" w:color="auto"/>
      </w:divBdr>
    </w:div>
    <w:div w:id="1552234094">
      <w:bodyDiv w:val="1"/>
      <w:marLeft w:val="0"/>
      <w:marRight w:val="0"/>
      <w:marTop w:val="0"/>
      <w:marBottom w:val="0"/>
      <w:divBdr>
        <w:top w:val="none" w:sz="0" w:space="0" w:color="auto"/>
        <w:left w:val="none" w:sz="0" w:space="0" w:color="auto"/>
        <w:bottom w:val="none" w:sz="0" w:space="0" w:color="auto"/>
        <w:right w:val="none" w:sz="0" w:space="0" w:color="auto"/>
      </w:divBdr>
    </w:div>
    <w:div w:id="1556118774">
      <w:bodyDiv w:val="1"/>
      <w:marLeft w:val="0"/>
      <w:marRight w:val="0"/>
      <w:marTop w:val="0"/>
      <w:marBottom w:val="0"/>
      <w:divBdr>
        <w:top w:val="none" w:sz="0" w:space="0" w:color="auto"/>
        <w:left w:val="none" w:sz="0" w:space="0" w:color="auto"/>
        <w:bottom w:val="none" w:sz="0" w:space="0" w:color="auto"/>
        <w:right w:val="none" w:sz="0" w:space="0" w:color="auto"/>
      </w:divBdr>
    </w:div>
    <w:div w:id="1556627918">
      <w:bodyDiv w:val="1"/>
      <w:marLeft w:val="0"/>
      <w:marRight w:val="0"/>
      <w:marTop w:val="0"/>
      <w:marBottom w:val="0"/>
      <w:divBdr>
        <w:top w:val="none" w:sz="0" w:space="0" w:color="auto"/>
        <w:left w:val="none" w:sz="0" w:space="0" w:color="auto"/>
        <w:bottom w:val="none" w:sz="0" w:space="0" w:color="auto"/>
        <w:right w:val="none" w:sz="0" w:space="0" w:color="auto"/>
      </w:divBdr>
    </w:div>
    <w:div w:id="1619530295">
      <w:bodyDiv w:val="1"/>
      <w:marLeft w:val="0"/>
      <w:marRight w:val="0"/>
      <w:marTop w:val="0"/>
      <w:marBottom w:val="0"/>
      <w:divBdr>
        <w:top w:val="none" w:sz="0" w:space="0" w:color="auto"/>
        <w:left w:val="none" w:sz="0" w:space="0" w:color="auto"/>
        <w:bottom w:val="none" w:sz="0" w:space="0" w:color="auto"/>
        <w:right w:val="none" w:sz="0" w:space="0" w:color="auto"/>
      </w:divBdr>
    </w:div>
    <w:div w:id="1646592499">
      <w:bodyDiv w:val="1"/>
      <w:marLeft w:val="0"/>
      <w:marRight w:val="0"/>
      <w:marTop w:val="0"/>
      <w:marBottom w:val="0"/>
      <w:divBdr>
        <w:top w:val="none" w:sz="0" w:space="0" w:color="auto"/>
        <w:left w:val="none" w:sz="0" w:space="0" w:color="auto"/>
        <w:bottom w:val="none" w:sz="0" w:space="0" w:color="auto"/>
        <w:right w:val="none" w:sz="0" w:space="0" w:color="auto"/>
      </w:divBdr>
    </w:div>
    <w:div w:id="1661151174">
      <w:bodyDiv w:val="1"/>
      <w:marLeft w:val="0"/>
      <w:marRight w:val="0"/>
      <w:marTop w:val="0"/>
      <w:marBottom w:val="0"/>
      <w:divBdr>
        <w:top w:val="none" w:sz="0" w:space="0" w:color="auto"/>
        <w:left w:val="none" w:sz="0" w:space="0" w:color="auto"/>
        <w:bottom w:val="none" w:sz="0" w:space="0" w:color="auto"/>
        <w:right w:val="none" w:sz="0" w:space="0" w:color="auto"/>
      </w:divBdr>
    </w:div>
    <w:div w:id="1735275555">
      <w:bodyDiv w:val="1"/>
      <w:marLeft w:val="0"/>
      <w:marRight w:val="0"/>
      <w:marTop w:val="0"/>
      <w:marBottom w:val="0"/>
      <w:divBdr>
        <w:top w:val="none" w:sz="0" w:space="0" w:color="auto"/>
        <w:left w:val="none" w:sz="0" w:space="0" w:color="auto"/>
        <w:bottom w:val="none" w:sz="0" w:space="0" w:color="auto"/>
        <w:right w:val="none" w:sz="0" w:space="0" w:color="auto"/>
      </w:divBdr>
    </w:div>
    <w:div w:id="1812821201">
      <w:bodyDiv w:val="1"/>
      <w:marLeft w:val="0"/>
      <w:marRight w:val="0"/>
      <w:marTop w:val="0"/>
      <w:marBottom w:val="0"/>
      <w:divBdr>
        <w:top w:val="none" w:sz="0" w:space="0" w:color="auto"/>
        <w:left w:val="none" w:sz="0" w:space="0" w:color="auto"/>
        <w:bottom w:val="none" w:sz="0" w:space="0" w:color="auto"/>
        <w:right w:val="none" w:sz="0" w:space="0" w:color="auto"/>
      </w:divBdr>
      <w:divsChild>
        <w:div w:id="597756253">
          <w:marLeft w:val="446"/>
          <w:marRight w:val="0"/>
          <w:marTop w:val="0"/>
          <w:marBottom w:val="0"/>
          <w:divBdr>
            <w:top w:val="none" w:sz="0" w:space="0" w:color="auto"/>
            <w:left w:val="none" w:sz="0" w:space="0" w:color="auto"/>
            <w:bottom w:val="none" w:sz="0" w:space="0" w:color="auto"/>
            <w:right w:val="none" w:sz="0" w:space="0" w:color="auto"/>
          </w:divBdr>
        </w:div>
        <w:div w:id="934362916">
          <w:marLeft w:val="446"/>
          <w:marRight w:val="0"/>
          <w:marTop w:val="0"/>
          <w:marBottom w:val="0"/>
          <w:divBdr>
            <w:top w:val="none" w:sz="0" w:space="0" w:color="auto"/>
            <w:left w:val="none" w:sz="0" w:space="0" w:color="auto"/>
            <w:bottom w:val="none" w:sz="0" w:space="0" w:color="auto"/>
            <w:right w:val="none" w:sz="0" w:space="0" w:color="auto"/>
          </w:divBdr>
        </w:div>
        <w:div w:id="1370377183">
          <w:marLeft w:val="446"/>
          <w:marRight w:val="0"/>
          <w:marTop w:val="0"/>
          <w:marBottom w:val="0"/>
          <w:divBdr>
            <w:top w:val="none" w:sz="0" w:space="0" w:color="auto"/>
            <w:left w:val="none" w:sz="0" w:space="0" w:color="auto"/>
            <w:bottom w:val="none" w:sz="0" w:space="0" w:color="auto"/>
            <w:right w:val="none" w:sz="0" w:space="0" w:color="auto"/>
          </w:divBdr>
        </w:div>
        <w:div w:id="1439720941">
          <w:marLeft w:val="446"/>
          <w:marRight w:val="0"/>
          <w:marTop w:val="0"/>
          <w:marBottom w:val="0"/>
          <w:divBdr>
            <w:top w:val="none" w:sz="0" w:space="0" w:color="auto"/>
            <w:left w:val="none" w:sz="0" w:space="0" w:color="auto"/>
            <w:bottom w:val="none" w:sz="0" w:space="0" w:color="auto"/>
            <w:right w:val="none" w:sz="0" w:space="0" w:color="auto"/>
          </w:divBdr>
        </w:div>
        <w:div w:id="1610816237">
          <w:marLeft w:val="446"/>
          <w:marRight w:val="0"/>
          <w:marTop w:val="0"/>
          <w:marBottom w:val="0"/>
          <w:divBdr>
            <w:top w:val="none" w:sz="0" w:space="0" w:color="auto"/>
            <w:left w:val="none" w:sz="0" w:space="0" w:color="auto"/>
            <w:bottom w:val="none" w:sz="0" w:space="0" w:color="auto"/>
            <w:right w:val="none" w:sz="0" w:space="0" w:color="auto"/>
          </w:divBdr>
        </w:div>
        <w:div w:id="1863742743">
          <w:marLeft w:val="446"/>
          <w:marRight w:val="0"/>
          <w:marTop w:val="0"/>
          <w:marBottom w:val="0"/>
          <w:divBdr>
            <w:top w:val="none" w:sz="0" w:space="0" w:color="auto"/>
            <w:left w:val="none" w:sz="0" w:space="0" w:color="auto"/>
            <w:bottom w:val="none" w:sz="0" w:space="0" w:color="auto"/>
            <w:right w:val="none" w:sz="0" w:space="0" w:color="auto"/>
          </w:divBdr>
        </w:div>
      </w:divsChild>
    </w:div>
    <w:div w:id="1817990566">
      <w:bodyDiv w:val="1"/>
      <w:marLeft w:val="0"/>
      <w:marRight w:val="0"/>
      <w:marTop w:val="0"/>
      <w:marBottom w:val="0"/>
      <w:divBdr>
        <w:top w:val="none" w:sz="0" w:space="0" w:color="auto"/>
        <w:left w:val="none" w:sz="0" w:space="0" w:color="auto"/>
        <w:bottom w:val="none" w:sz="0" w:space="0" w:color="auto"/>
        <w:right w:val="none" w:sz="0" w:space="0" w:color="auto"/>
      </w:divBdr>
    </w:div>
    <w:div w:id="2096777632">
      <w:bodyDiv w:val="1"/>
      <w:marLeft w:val="0"/>
      <w:marRight w:val="0"/>
      <w:marTop w:val="0"/>
      <w:marBottom w:val="0"/>
      <w:divBdr>
        <w:top w:val="none" w:sz="0" w:space="0" w:color="auto"/>
        <w:left w:val="none" w:sz="0" w:space="0" w:color="auto"/>
        <w:bottom w:val="none" w:sz="0" w:space="0" w:color="auto"/>
        <w:right w:val="none" w:sz="0" w:space="0" w:color="auto"/>
      </w:divBdr>
    </w:div>
    <w:div w:id="211671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hyperlink" Target="https://www.anna-dsb.com/product-committe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anna-dsb.com/download/20180627-dsb-tac-report-final-v1a/" TargetMode="External"/><Relationship Id="rId7" Type="http://schemas.openxmlformats.org/officeDocument/2006/relationships/endnotes" Target="endnotes.xml"/><Relationship Id="rId12" Type="http://schemas.openxmlformats.org/officeDocument/2006/relationships/hyperlink" Target="https://www.anna-dsb.com/technology-advisory-committee/" TargetMode="External"/><Relationship Id="rId17" Type="http://schemas.openxmlformats.org/officeDocument/2006/relationships/image" Target="media/image4.png"/><Relationship Id="rId25" Type="http://schemas.openxmlformats.org/officeDocument/2006/relationships/hyperlink" Target="mailto:industry_consultation@anna-dsb.com" TargetMode="External"/><Relationship Id="rId2" Type="http://schemas.openxmlformats.org/officeDocument/2006/relationships/numbering" Target="numbering.xml"/><Relationship Id="rId16" Type="http://schemas.openxmlformats.org/officeDocument/2006/relationships/hyperlink" Target="https://www.anna-dsb.com/product-committee/" TargetMode="External"/><Relationship Id="rId20" Type="http://schemas.openxmlformats.org/officeDocument/2006/relationships/image" Target="media/image5.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na-web.org/dsb-product-committee/" TargetMode="External"/><Relationship Id="rId24" Type="http://schemas.openxmlformats.org/officeDocument/2006/relationships/hyperlink" Target="mailto:industry_consultation@anna-dsb.com" TargetMode="External"/><Relationship Id="rId5" Type="http://schemas.openxmlformats.org/officeDocument/2006/relationships/webSettings" Target="webSettings.xml"/><Relationship Id="rId15" Type="http://schemas.openxmlformats.org/officeDocument/2006/relationships/hyperlink" Target="https://www.anna-dsb.com/download/20180627-dsb-tac-report-final-v1a/" TargetMode="External"/><Relationship Id="rId23" Type="http://schemas.openxmlformats.org/officeDocument/2006/relationships/hyperlink" Target="https://www.anna-dsb.com/operational-status/" TargetMode="External"/><Relationship Id="rId28" Type="http://schemas.openxmlformats.org/officeDocument/2006/relationships/header" Target="header2.xml"/><Relationship Id="rId10" Type="http://schemas.openxmlformats.org/officeDocument/2006/relationships/hyperlink" Target="https://www.anna-dsb.com/2019-user-fee-and-user-agreement-consultations/" TargetMode="External"/><Relationship Id="rId19" Type="http://schemas.openxmlformats.org/officeDocument/2006/relationships/hyperlink" Target="https://www.anna-dsb.com/download/20180627-dsb-tac-report-final-v1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nna-dsb.com/2019-user-fee-and-user-agreement-consultations/" TargetMode="Externa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DF405-FC66-4932-9863-F2196FF2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10758</Words>
  <Characters>61322</Characters>
  <Application>Microsoft Office Word</Application>
  <DocSecurity>4</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2018-06-28T17:32:00Z</dcterms:created>
  <dcterms:modified xsi:type="dcterms:W3CDTF">2018-06-28T17:32:00Z</dcterms:modified>
</cp:coreProperties>
</file>